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32"/>
          <w:szCs w:val="32"/>
          <w:highlight w:val="none"/>
        </w:rPr>
      </w:pPr>
      <w:r>
        <w:rPr>
          <w:rFonts w:hint="default" w:ascii="华文仿宋" w:hAnsi="华文仿宋" w:eastAsia="华文仿宋" w:cs="华文仿宋"/>
          <w:b/>
          <w:bCs/>
          <w:sz w:val="32"/>
          <w:szCs w:val="32"/>
          <w:highlight w:val="none"/>
        </w:rPr>
        <w:t>渤银理财理财有术系列晨夕盈</w:t>
      </w:r>
      <w:r>
        <w:rPr>
          <w:rFonts w:hint="eastAsia" w:ascii="华文仿宋" w:hAnsi="华文仿宋" w:eastAsia="华文仿宋" w:cs="华文仿宋"/>
          <w:b/>
          <w:bCs/>
          <w:sz w:val="32"/>
          <w:szCs w:val="32"/>
          <w:highlight w:val="none"/>
          <w:lang w:val="en-US" w:eastAsia="zh-CN"/>
        </w:rPr>
        <w:t>13</w:t>
      </w:r>
      <w:r>
        <w:rPr>
          <w:rFonts w:hint="default" w:ascii="华文仿宋" w:hAnsi="华文仿宋" w:eastAsia="华文仿宋" w:cs="华文仿宋"/>
          <w:b/>
          <w:bCs/>
          <w:sz w:val="32"/>
          <w:szCs w:val="32"/>
          <w:highlight w:val="none"/>
        </w:rPr>
        <w:t>号固收日开理财产品</w:t>
      </w:r>
    </w:p>
    <w:p>
      <w:pPr>
        <w:jc w:val="center"/>
        <w:rPr>
          <w:b/>
          <w:bCs/>
          <w:sz w:val="20"/>
          <w:szCs w:val="21"/>
          <w:highlight w:val="none"/>
        </w:rPr>
      </w:pP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default"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default"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w:t>
      </w:r>
      <w:r>
        <w:rPr>
          <w:rFonts w:hint="default"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default" w:ascii="宋体" w:hAnsi="宋体" w:eastAsia="宋体"/>
          <w:b/>
          <w:bCs/>
          <w:sz w:val="24"/>
          <w:szCs w:val="24"/>
          <w:highlight w:val="none"/>
        </w:rPr>
        <w:t>销售服务机构</w:t>
      </w:r>
      <w:r>
        <w:rPr>
          <w:rFonts w:ascii="宋体" w:hAnsi="宋体" w:eastAsia="宋体"/>
          <w:b/>
          <w:bCs/>
          <w:sz w:val="24"/>
          <w:szCs w:val="24"/>
          <w:highlight w:val="none"/>
        </w:rPr>
        <w:t>销售的，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default"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default"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default"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default"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default"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default"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default"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default"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银行：指</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w:t>
      </w:r>
      <w:r>
        <w:rPr>
          <w:rFonts w:ascii="宋体" w:hAnsi="宋体" w:eastAsia="宋体"/>
          <w:sz w:val="24"/>
          <w:szCs w:val="24"/>
          <w:highlight w:val="none"/>
        </w:rPr>
        <w:t>银行</w:t>
      </w:r>
      <w:r>
        <w:rPr>
          <w:rFonts w:hint="eastAsia" w:ascii="宋体" w:hAnsi="宋体" w:eastAsia="宋体"/>
          <w:sz w:val="24"/>
          <w:szCs w:val="24"/>
          <w:highlight w:val="none"/>
        </w:rPr>
        <w:t>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渤银理财理财有术系列晨夕盈</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号固收日开理财产品产品说明书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default"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产品份额</w:t>
      </w:r>
      <w:r>
        <w:rPr>
          <w:rFonts w:hint="eastAsia" w:ascii="宋体" w:hAnsi="宋体" w:eastAsia="宋体"/>
          <w:sz w:val="24"/>
          <w:szCs w:val="24"/>
          <w:highlight w:val="none"/>
        </w:rPr>
        <w:t>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2.申购费：指投资者申购产品时需缴纳的费用。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3.赎回费：指投资者赎回产品时需缴纳的费用。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w:t>
      </w:r>
      <w:r>
        <w:rPr>
          <w:rFonts w:hint="default"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default"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5</w:t>
      </w:r>
      <w:r>
        <w:rPr>
          <w:rFonts w:hint="default"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default"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6</w:t>
      </w:r>
      <w:r>
        <w:rPr>
          <w:rFonts w:hint="default"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default"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7</w:t>
      </w:r>
      <w:r>
        <w:rPr>
          <w:rFonts w:hint="default"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default"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产品名称：渤银理财理财有术系列晨夕盈</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号固收日开理财产品</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产品代码：LCYSRK</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类份额：渤银理财理财有术系列晨夕盈</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rPr>
              <w:t>号固收日开理财产品</w:t>
            </w:r>
            <w:r>
              <w:rPr>
                <w:rFonts w:hint="eastAsia" w:ascii="宋体" w:hAnsi="宋体" w:eastAsia="宋体"/>
                <w:sz w:val="24"/>
                <w:szCs w:val="24"/>
                <w:highlight w:val="none"/>
                <w:lang w:val="en-US" w:eastAsia="zh-CN"/>
              </w:rPr>
              <w:t>B</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类份额：LCYSRK</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3B</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Z7008425000081</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固定收益</w:t>
            </w:r>
            <w:r>
              <w:rPr>
                <w:rFonts w:hint="eastAsia" w:ascii="宋体" w:hAnsi="宋体" w:eastAsia="宋体"/>
                <w:sz w:val="24"/>
                <w:szCs w:val="24"/>
                <w:highlight w:val="none"/>
              </w:rPr>
              <w:t>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w:t>
            </w:r>
            <w:r>
              <w:rPr>
                <w:rFonts w:hint="eastAsia" w:ascii="宋体" w:hAnsi="宋体" w:eastAsia="宋体"/>
                <w:b/>
                <w:bCs/>
                <w:sz w:val="24"/>
                <w:szCs w:val="24"/>
                <w:highlight w:val="none"/>
                <w:lang w:val="en-US" w:eastAsia="zh-CN"/>
              </w:rPr>
              <w:t>2</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较低/中低</w:t>
            </w:r>
            <w:r>
              <w:rPr>
                <w:rFonts w:ascii="宋体" w:hAnsi="宋体" w:eastAsia="宋体"/>
                <w:b/>
                <w:bCs/>
                <w:sz w:val="24"/>
                <w:szCs w:val="24"/>
                <w:highlight w:val="none"/>
              </w:rPr>
              <w:t>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上海浦东发展银行股份有限公司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rPr>
              <w:t>以下简称“</w:t>
            </w:r>
            <w:r>
              <w:rPr>
                <w:rFonts w:hint="eastAsia" w:ascii="宋体" w:hAnsi="宋体" w:eastAsia="宋体"/>
                <w:sz w:val="24"/>
                <w:szCs w:val="24"/>
                <w:highlight w:val="none"/>
                <w:lang w:val="en-US" w:eastAsia="zh-CN"/>
              </w:rPr>
              <w:t>浦发</w:t>
            </w:r>
            <w:r>
              <w:rPr>
                <w:rFonts w:hint="eastAsia" w:ascii="宋体" w:hAnsi="宋体" w:eastAsia="宋体"/>
                <w:sz w:val="24"/>
                <w:szCs w:val="24"/>
                <w:highlight w:val="none"/>
              </w:rPr>
              <w:t>银行”“代销机构”。</w:t>
            </w:r>
          </w:p>
          <w:p>
            <w:pPr>
              <w:spacing w:line="300" w:lineRule="auto"/>
              <w:rPr>
                <w:rFonts w:hint="eastAsia" w:ascii="宋体" w:hAnsi="宋体" w:eastAsia="宋体"/>
                <w:sz w:val="24"/>
                <w:szCs w:val="24"/>
                <w:highlight w:val="none"/>
                <w:lang w:val="en-US" w:eastAsia="zh-CN"/>
              </w:rPr>
            </w:pPr>
            <w:bookmarkStart w:id="2" w:name="_GoBack"/>
            <w:bookmarkEnd w:id="2"/>
            <w:r>
              <w:rPr>
                <w:rFonts w:hint="eastAsia" w:ascii="宋体" w:hAnsi="宋体" w:eastAsia="宋体"/>
                <w:sz w:val="24"/>
                <w:szCs w:val="24"/>
                <w:highlight w:val="none"/>
              </w:rPr>
              <w:t>唐山银行股份有限公司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以下简称“唐山银行”“代销机构”。</w:t>
            </w:r>
          </w:p>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徽商银行股份有限公司，以下简称“徽商银行”“代销机构”。</w:t>
            </w:r>
          </w:p>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内蒙古银行股份有限公司，以下简称“内蒙古银行”“代销机构”。</w:t>
            </w:r>
          </w:p>
          <w:p>
            <w:pPr>
              <w:spacing w:line="300" w:lineRule="auto"/>
              <w:rPr>
                <w:rFonts w:hint="default" w:ascii="宋体" w:hAnsi="宋体" w:eastAsia="宋体"/>
                <w:sz w:val="24"/>
                <w:szCs w:val="24"/>
                <w:highlight w:val="none"/>
                <w:lang w:val="en-US" w:eastAsia="zh-CN"/>
              </w:rPr>
            </w:pPr>
            <w:r>
              <w:rPr>
                <w:rFonts w:hint="default" w:ascii="宋体" w:hAnsi="宋体" w:eastAsia="宋体"/>
                <w:sz w:val="24"/>
                <w:szCs w:val="24"/>
                <w:highlight w:val="none"/>
                <w:lang w:val="en-US" w:eastAsia="zh-CN"/>
              </w:rPr>
              <w:t>中国邮政储蓄银行股份有限公司</w:t>
            </w:r>
            <w:r>
              <w:rPr>
                <w:rFonts w:hint="eastAsia" w:ascii="宋体" w:hAnsi="宋体" w:eastAsia="宋体"/>
                <w:sz w:val="24"/>
                <w:szCs w:val="24"/>
                <w:highlight w:val="none"/>
                <w:lang w:val="en-US" w:eastAsia="zh-CN"/>
              </w:rPr>
              <w:t>，以下简称“邮储银行”“代销机构”。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渤银理财建议，R</w:t>
            </w:r>
            <w:r>
              <w:rPr>
                <w:rFonts w:hint="eastAsia" w:ascii="宋体" w:hAnsi="宋体" w:eastAsia="宋体"/>
                <w:b/>
                <w:bCs/>
                <w:sz w:val="24"/>
                <w:szCs w:val="24"/>
                <w:highlight w:val="none"/>
                <w:lang w:val="en-US" w:eastAsia="zh-CN"/>
              </w:rPr>
              <w:t>2</w:t>
            </w:r>
            <w:r>
              <w:rPr>
                <w:rFonts w:hint="default" w:ascii="宋体" w:hAnsi="宋体" w:eastAsia="宋体"/>
                <w:b/>
                <w:bCs/>
                <w:sz w:val="24"/>
                <w:szCs w:val="24"/>
                <w:highlight w:val="none"/>
              </w:rPr>
              <w:t>（较低/中低风险）评级产品适合风险承受能力为</w:t>
            </w:r>
            <w:r>
              <w:rPr>
                <w:rFonts w:ascii="宋体" w:hAnsi="宋体" w:eastAsia="宋体"/>
                <w:b/>
                <w:bCs/>
                <w:sz w:val="24"/>
                <w:szCs w:val="24"/>
                <w:highlight w:val="none"/>
              </w:rPr>
              <w:t>C2</w:t>
            </w:r>
            <w:r>
              <w:rPr>
                <w:rFonts w:hint="default" w:ascii="宋体" w:hAnsi="宋体" w:eastAsia="宋体"/>
                <w:b/>
                <w:bCs/>
                <w:sz w:val="24"/>
                <w:szCs w:val="24"/>
                <w:highlight w:val="none"/>
              </w:rPr>
              <w:t>稳健型、</w:t>
            </w:r>
            <w:r>
              <w:rPr>
                <w:rFonts w:ascii="宋体" w:hAnsi="宋体" w:eastAsia="宋体"/>
                <w:b/>
                <w:bCs/>
                <w:sz w:val="24"/>
                <w:szCs w:val="24"/>
                <w:highlight w:val="none"/>
              </w:rPr>
              <w:t>C3</w:t>
            </w:r>
            <w:r>
              <w:rPr>
                <w:rFonts w:hint="default" w:ascii="宋体" w:hAnsi="宋体" w:eastAsia="宋体"/>
                <w:b/>
                <w:bCs/>
                <w:sz w:val="24"/>
                <w:szCs w:val="24"/>
                <w:highlight w:val="none"/>
              </w:rPr>
              <w:t>平衡型、</w:t>
            </w:r>
            <w:r>
              <w:rPr>
                <w:rFonts w:ascii="宋体" w:hAnsi="宋体" w:eastAsia="宋体"/>
                <w:b/>
                <w:bCs/>
                <w:sz w:val="24"/>
                <w:szCs w:val="24"/>
                <w:highlight w:val="none"/>
              </w:rPr>
              <w:t>C4</w:t>
            </w:r>
            <w:r>
              <w:rPr>
                <w:rFonts w:hint="default" w:ascii="宋体" w:hAnsi="宋体" w:eastAsia="宋体"/>
                <w:b/>
                <w:bCs/>
                <w:sz w:val="24"/>
                <w:szCs w:val="24"/>
                <w:highlight w:val="none"/>
              </w:rPr>
              <w:t>成长型和</w:t>
            </w:r>
            <w:r>
              <w:rPr>
                <w:rFonts w:ascii="宋体" w:hAnsi="宋体" w:eastAsia="宋体"/>
                <w:b/>
                <w:bCs/>
                <w:sz w:val="24"/>
                <w:szCs w:val="24"/>
                <w:highlight w:val="none"/>
              </w:rPr>
              <w:t>C5</w:t>
            </w:r>
            <w:r>
              <w:rPr>
                <w:rFonts w:hint="default"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500亿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类份额：认购/申购起点为人民币【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元】，超过认购/申购起点部分以人民币【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类份额：个人</w:t>
            </w:r>
            <w:r>
              <w:rPr>
                <w:rFonts w:ascii="宋体" w:hAnsi="宋体" w:eastAsia="宋体"/>
                <w:sz w:val="24"/>
                <w:szCs w:val="24"/>
                <w:highlight w:val="none"/>
              </w:rPr>
              <w:t>投资者</w:t>
            </w:r>
            <w:r>
              <w:rPr>
                <w:rFonts w:hint="eastAsia" w:ascii="宋体" w:hAnsi="宋体" w:eastAsia="宋体"/>
                <w:sz w:val="24"/>
                <w:szCs w:val="24"/>
                <w:highlight w:val="none"/>
              </w:rPr>
              <w:t>单笔认/申购上限为【</w:t>
            </w:r>
            <w:r>
              <w:rPr>
                <w:rFonts w:hint="eastAsia" w:ascii="宋体" w:hAnsi="宋体" w:eastAsia="宋体"/>
                <w:sz w:val="24"/>
                <w:szCs w:val="24"/>
                <w:highlight w:val="none"/>
                <w:lang w:val="en-US" w:eastAsia="zh-CN"/>
              </w:rPr>
              <w:t>10亿</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w:t>
            </w:r>
            <w:r>
              <w:rPr>
                <w:rFonts w:hint="eastAsia" w:ascii="宋体" w:hAnsi="宋体" w:eastAsia="宋体"/>
                <w:sz w:val="24"/>
                <w:szCs w:val="24"/>
                <w:highlight w:val="none"/>
                <w:lang w:val="en-US" w:eastAsia="zh-CN"/>
              </w:rPr>
              <w:t>/申</w:t>
            </w:r>
            <w:r>
              <w:rPr>
                <w:rFonts w:ascii="宋体" w:hAnsi="宋体" w:eastAsia="宋体"/>
                <w:sz w:val="24"/>
                <w:szCs w:val="24"/>
                <w:highlight w:val="none"/>
              </w:rPr>
              <w:t>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10亿</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类份额：个人投资者单笔赎回上限为【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份】，机构投资者单笔赎回上限为【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类份额：个人投资者单日累计赎回上限为【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份】，机构投资者单日累计赎回上限为【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3</w:t>
            </w:r>
            <w:r>
              <w:rPr>
                <w:rFonts w:ascii="宋体" w:hAnsi="宋体" w:eastAsia="宋体"/>
                <w:sz w:val="24"/>
                <w:szCs w:val="24"/>
                <w:highlight w:val="none"/>
              </w:rPr>
              <w:t>】月【</w:t>
            </w:r>
            <w:r>
              <w:rPr>
                <w:rFonts w:hint="eastAsia" w:ascii="宋体" w:hAnsi="宋体" w:eastAsia="宋体"/>
                <w:sz w:val="24"/>
                <w:szCs w:val="24"/>
                <w:highlight w:val="none"/>
                <w:lang w:val="en-US" w:eastAsia="zh-CN"/>
              </w:rPr>
              <w:t>6</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3</w:t>
            </w:r>
            <w:r>
              <w:rPr>
                <w:rFonts w:ascii="宋体" w:hAnsi="宋体" w:eastAsia="宋体"/>
                <w:sz w:val="24"/>
                <w:szCs w:val="24"/>
                <w:highlight w:val="none"/>
              </w:rPr>
              <w:t>】月【</w:t>
            </w:r>
            <w:r>
              <w:rPr>
                <w:rFonts w:hint="eastAsia" w:ascii="宋体" w:hAnsi="宋体" w:eastAsia="宋体"/>
                <w:sz w:val="24"/>
                <w:szCs w:val="24"/>
                <w:highlight w:val="none"/>
                <w:lang w:val="en-US" w:eastAsia="zh-CN"/>
              </w:rPr>
              <w:t>6</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default"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3</w:t>
            </w:r>
            <w:r>
              <w:rPr>
                <w:rFonts w:ascii="宋体" w:hAnsi="宋体" w:eastAsia="宋体"/>
                <w:sz w:val="24"/>
                <w:szCs w:val="24"/>
                <w:highlight w:val="none"/>
              </w:rPr>
              <w:t>】月【</w:t>
            </w:r>
            <w:r>
              <w:rPr>
                <w:rFonts w:hint="eastAsia" w:ascii="宋体" w:hAnsi="宋体" w:eastAsia="宋体"/>
                <w:sz w:val="24"/>
                <w:szCs w:val="24"/>
                <w:highlight w:val="none"/>
                <w:lang w:val="en-US" w:eastAsia="zh-CN"/>
              </w:rPr>
              <w:t>7</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2025</w:t>
            </w:r>
            <w:r>
              <w:rPr>
                <w:rFonts w:ascii="宋体" w:hAnsi="宋体" w:eastAsia="宋体"/>
                <w:sz w:val="24"/>
                <w:szCs w:val="24"/>
                <w:highlight w:val="none"/>
              </w:rPr>
              <w:t>】年【</w:t>
            </w:r>
            <w:r>
              <w:rPr>
                <w:rFonts w:hint="eastAsia" w:ascii="宋体" w:hAnsi="宋体" w:eastAsia="宋体"/>
                <w:sz w:val="24"/>
                <w:szCs w:val="24"/>
                <w:highlight w:val="none"/>
                <w:lang w:val="en-US" w:eastAsia="zh-CN"/>
              </w:rPr>
              <w:t>3</w:t>
            </w:r>
            <w:r>
              <w:rPr>
                <w:rFonts w:ascii="宋体" w:hAnsi="宋体" w:eastAsia="宋体"/>
                <w:sz w:val="24"/>
                <w:szCs w:val="24"/>
                <w:highlight w:val="none"/>
              </w:rPr>
              <w:t>】月【</w:t>
            </w:r>
            <w:r>
              <w:rPr>
                <w:rFonts w:hint="eastAsia" w:ascii="宋体" w:hAnsi="宋体" w:eastAsia="宋体"/>
                <w:sz w:val="24"/>
                <w:szCs w:val="24"/>
                <w:highlight w:val="none"/>
                <w:lang w:val="en-US" w:eastAsia="zh-CN"/>
              </w:rPr>
              <w:t>7</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lang w:eastAsia="zh-CN"/>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w:t>
            </w:r>
            <w:r>
              <w:rPr>
                <w:rFonts w:hint="eastAsia" w:ascii="宋体" w:hAnsi="宋体" w:eastAsia="宋体"/>
                <w:sz w:val="24"/>
                <w:szCs w:val="24"/>
                <w:highlight w:val="none"/>
                <w:lang w:val="en-US" w:eastAsia="zh-CN"/>
              </w:rPr>
              <w:t>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1.申购。投资者在开放日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提交的申购申请，视为该开放日的申购申请，管理人以该开放日份额净值进行确认，确认日为该申请对应开放日后的第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；本开放日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hint="eastAsia" w:ascii="宋体" w:hAnsi="宋体" w:cs="宋体"/>
                <w:sz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ascii="宋体" w:hAnsi="宋体" w:eastAsia="宋体"/>
                <w:sz w:val="24"/>
                <w:szCs w:val="24"/>
                <w:highlight w:val="none"/>
              </w:rPr>
              <w:t>（不含）提交的申购申请，视为下一开放日的申购申请，管理人以下一开放日的份额净值进行确认，确认日为下一开放日后的第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sz w:val="24"/>
                <w:szCs w:val="24"/>
                <w:highlight w:val="none"/>
              </w:rPr>
              <w:t>2.赎回。投资者在开放日【</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（不含）】提交的赎回申请，视为该开放日的赎回申请，管理人以该开放日份额净值进行确认，确认日为该申请对应开放日后的第【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】个交易日；本开放日【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】（不含）提交的赎回申请，视为下一开放日的赎回申请，管理人以下一开放日的份额净值进行确认，确认日为下一开放日后的第【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numPr>
                <w:ilvl w:val="255"/>
                <w:numId w:val="0"/>
              </w:numPr>
              <w:spacing w:line="30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巨额赎回</w:t>
            </w:r>
          </w:p>
        </w:tc>
        <w:tc>
          <w:tcPr>
            <w:tcW w:w="6096" w:type="dxa"/>
            <w:vAlign w:val="center"/>
          </w:tcPr>
          <w:p>
            <w:pPr>
              <w:spacing w:line="300" w:lineRule="auto"/>
              <w:rPr>
                <w:rFonts w:hint="default" w:ascii="宋体" w:hAnsi="宋体" w:eastAsia="宋体" w:cstheme="minorBidi"/>
                <w:b/>
                <w:bCs/>
                <w:sz w:val="24"/>
                <w:szCs w:val="24"/>
                <w:highlight w:val="none"/>
              </w:rPr>
            </w:pPr>
            <w:r>
              <w:rPr>
                <w:rFonts w:ascii="宋体" w:hAnsi="宋体" w:eastAsia="宋体" w:cstheme="minorBidi"/>
                <w:b/>
                <w:bCs/>
                <w:sz w:val="24"/>
                <w:szCs w:val="24"/>
                <w:highlight w:val="none"/>
              </w:rPr>
              <w:t>投资者可于</w:t>
            </w:r>
            <w:r>
              <w:rPr>
                <w:rFonts w:hint="default" w:ascii="宋体" w:hAnsi="宋体" w:eastAsia="宋体" w:cstheme="minorBidi"/>
                <w:b/>
                <w:bCs/>
                <w:sz w:val="24"/>
                <w:szCs w:val="24"/>
                <w:highlight w:val="none"/>
              </w:rPr>
              <w:t>开放日</w:t>
            </w:r>
            <w:r>
              <w:rPr>
                <w:rFonts w:ascii="宋体" w:hAnsi="宋体" w:eastAsia="宋体" w:cstheme="minorBidi"/>
                <w:b/>
                <w:bCs/>
                <w:sz w:val="24"/>
                <w:szCs w:val="24"/>
                <w:highlight w:val="none"/>
              </w:rPr>
              <w:t>向销售服务机构提出赎回申请</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在</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存续期内，若</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单个开放日净赎回申请份额（赎回申请份额总数扣除申购申请份额总数）超过本</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上一交易日日终份额的10%时，即为发生巨额赎回。</w:t>
            </w:r>
          </w:p>
          <w:p>
            <w:pPr>
              <w:spacing w:line="300" w:lineRule="auto"/>
              <w:rPr>
                <w:rFonts w:hint="default" w:ascii="宋体" w:hAnsi="宋体" w:eastAsia="宋体"/>
                <w:b/>
                <w:bCs/>
                <w:sz w:val="24"/>
                <w:szCs w:val="24"/>
                <w:highlight w:val="none"/>
              </w:rPr>
            </w:pPr>
            <w:r>
              <w:rPr>
                <w:rFonts w:ascii="宋体" w:hAnsi="宋体" w:eastAsia="宋体" w:cstheme="minorBidi"/>
                <w:b/>
                <w:bCs/>
                <w:sz w:val="24"/>
                <w:szCs w:val="24"/>
                <w:highlight w:val="none"/>
              </w:rPr>
              <w:t>在发生巨额赎回及连续</w:t>
            </w:r>
            <w:r>
              <w:rPr>
                <w:rFonts w:hint="default" w:ascii="宋体" w:hAnsi="宋体" w:eastAsia="宋体" w:cstheme="minorBidi"/>
                <w:b/>
                <w:bCs/>
                <w:sz w:val="24"/>
                <w:szCs w:val="24"/>
                <w:highlight w:val="none"/>
              </w:rPr>
              <w:t>2个开放日（含）及以上发生</w:t>
            </w:r>
            <w:r>
              <w:rPr>
                <w:rFonts w:ascii="宋体" w:hAnsi="宋体" w:eastAsia="宋体" w:cstheme="minorBidi"/>
                <w:b/>
                <w:bCs/>
                <w:sz w:val="24"/>
                <w:szCs w:val="24"/>
                <w:highlight w:val="none"/>
              </w:rPr>
              <w:t>巨额赎回时</w:t>
            </w:r>
            <w:r>
              <w:rPr>
                <w:rFonts w:hint="default" w:ascii="宋体" w:hAnsi="宋体" w:eastAsia="宋体" w:cstheme="minorBidi"/>
                <w:b/>
                <w:bCs/>
                <w:sz w:val="24"/>
                <w:szCs w:val="24"/>
                <w:highlight w:val="none"/>
              </w:rPr>
              <w:t>，产品</w:t>
            </w:r>
            <w:r>
              <w:rPr>
                <w:rFonts w:ascii="宋体" w:hAnsi="宋体" w:eastAsia="宋体" w:cstheme="minorBidi"/>
                <w:b/>
                <w:bCs/>
                <w:sz w:val="24"/>
                <w:szCs w:val="24"/>
                <w:highlight w:val="none"/>
              </w:rPr>
              <w:t>管理人有权依照</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当时的资产组合状况选择全额赎回、部分赎回或延缓支付赎回款项。详细内容见本《产品说明书》之“</w:t>
            </w:r>
            <w:r>
              <w:rPr>
                <w:rFonts w:hint="default" w:ascii="宋体" w:hAnsi="宋体" w:eastAsia="宋体" w:cstheme="minorBidi"/>
                <w:b/>
                <w:bCs/>
                <w:sz w:val="24"/>
                <w:szCs w:val="24"/>
                <w:highlight w:val="none"/>
              </w:rPr>
              <w:t>五、交易规则</w:t>
            </w:r>
            <w:r>
              <w:rPr>
                <w:rFonts w:ascii="宋体" w:hAnsi="宋体" w:eastAsia="宋体" w:cstheme="minorBidi"/>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eastAsia="宋体"/>
                <w:b/>
                <w:bCs/>
                <w:color w:val="auto"/>
                <w:sz w:val="24"/>
                <w:szCs w:val="24"/>
                <w:highlight w:val="none"/>
                <w:lang w:eastAsia="zh-CN"/>
              </w:rPr>
              <w:t>中债综合财富（1年以下）指数收益率*70%+中国人民银行公布的活期存款利率*30%</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业绩比较基准测算依据：本理财产品业绩比较基准根据本理财产品投资范围、投资比例及投资策略，并综合考量市场环境、费率等因素测算</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理财产品费用</w:t>
            </w:r>
          </w:p>
        </w:tc>
        <w:tc>
          <w:tcPr>
            <w:tcW w:w="6096" w:type="dxa"/>
            <w:vAlign w:val="center"/>
          </w:tcPr>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1.认购费：本理财产品不收取认购费；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2.申购费</w:t>
            </w:r>
            <w:r>
              <w:rPr>
                <w:rFonts w:hint="eastAsia" w:ascii="宋体" w:hAnsi="宋体" w:eastAsia="宋体"/>
                <w:b/>
                <w:bCs/>
                <w:sz w:val="24"/>
                <w:szCs w:val="24"/>
                <w:highlight w:val="none"/>
                <w:lang w:eastAsia="zh-CN"/>
              </w:rPr>
              <w:t>：</w:t>
            </w:r>
            <w:r>
              <w:rPr>
                <w:rFonts w:hint="default" w:ascii="宋体" w:hAnsi="宋体" w:eastAsia="宋体"/>
                <w:b/>
                <w:bCs/>
                <w:sz w:val="24"/>
                <w:szCs w:val="24"/>
                <w:highlight w:val="none"/>
              </w:rPr>
              <w:t>本理财产品不收取申购费；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3.赎回费：本理财产品不收取赎回费；</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4</w:t>
            </w:r>
            <w:r>
              <w:rPr>
                <w:rFonts w:hint="default" w:ascii="宋体" w:hAnsi="宋体" w:eastAsia="宋体"/>
                <w:b/>
                <w:bCs/>
                <w:sz w:val="24"/>
                <w:szCs w:val="24"/>
                <w:highlight w:val="none"/>
              </w:rPr>
              <w:t>.销售服务费：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w:t>
            </w:r>
            <w:r>
              <w:rPr>
                <w:rFonts w:hint="eastAsia" w:ascii="宋体" w:hAnsi="宋体" w:eastAsia="宋体"/>
                <w:b/>
                <w:bCs/>
                <w:sz w:val="24"/>
                <w:szCs w:val="24"/>
                <w:highlight w:val="none"/>
                <w:lang w:val="en-US" w:eastAsia="zh-CN"/>
              </w:rPr>
              <w:t>B</w:t>
            </w:r>
            <w:r>
              <w:rPr>
                <w:rFonts w:hint="default" w:ascii="宋体" w:hAnsi="宋体" w:eastAsia="宋体"/>
                <w:b/>
                <w:bCs/>
                <w:sz w:val="24"/>
                <w:szCs w:val="24"/>
                <w:highlight w:val="none"/>
              </w:rPr>
              <w:t>类份额：</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default" w:ascii="宋体" w:hAnsi="宋体" w:eastAsia="宋体"/>
                <w:b/>
                <w:bCs/>
                <w:sz w:val="24"/>
                <w:szCs w:val="24"/>
                <w:highlight w:val="none"/>
              </w:rPr>
              <w:t>销售渠道</w:t>
            </w:r>
            <w:r>
              <w:rPr>
                <w:rFonts w:ascii="宋体" w:hAnsi="宋体" w:eastAsia="宋体"/>
                <w:b/>
                <w:bCs/>
                <w:sz w:val="24"/>
                <w:szCs w:val="24"/>
                <w:highlight w:val="none"/>
              </w:rPr>
              <w:t>/</w:t>
            </w:r>
            <w:r>
              <w:rPr>
                <w:rFonts w:hint="default" w:ascii="宋体" w:hAnsi="宋体" w:eastAsia="宋体"/>
                <w:b/>
                <w:bCs/>
                <w:sz w:val="24"/>
                <w:szCs w:val="24"/>
                <w:highlight w:val="none"/>
              </w:rPr>
              <w:t>份额类别设置不同的销售服务费率。</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5</w:t>
            </w:r>
            <w:r>
              <w:rPr>
                <w:rFonts w:hint="default" w:ascii="宋体" w:hAnsi="宋体" w:eastAsia="宋体"/>
                <w:b/>
                <w:bCs/>
                <w:sz w:val="24"/>
                <w:szCs w:val="24"/>
                <w:highlight w:val="none"/>
              </w:rPr>
              <w:t>.固定</w:t>
            </w:r>
            <w:r>
              <w:rPr>
                <w:rFonts w:ascii="宋体" w:hAnsi="宋体" w:eastAsia="宋体"/>
                <w:b/>
                <w:bCs/>
                <w:sz w:val="24"/>
                <w:szCs w:val="24"/>
                <w:highlight w:val="none"/>
              </w:rPr>
              <w:t>管理费：</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widowControl/>
              <w:numPr>
                <w:ilvl w:val="255"/>
                <w:numId w:val="0"/>
              </w:numPr>
              <w:spacing w:line="300" w:lineRule="auto"/>
              <w:jc w:val="left"/>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6</w:t>
            </w:r>
            <w:r>
              <w:rPr>
                <w:rFonts w:hint="default" w:ascii="宋体" w:hAnsi="宋体" w:eastAsia="宋体"/>
                <w:b/>
                <w:bCs/>
                <w:sz w:val="24"/>
                <w:szCs w:val="24"/>
                <w:highlight w:val="none"/>
              </w:rPr>
              <w:t>.托管费：</w:t>
            </w:r>
            <w:r>
              <w:rPr>
                <w:rFonts w:hint="eastAsia" w:ascii="宋体" w:hAnsi="宋体" w:eastAsia="宋体"/>
                <w:b/>
                <w:bCs/>
                <w:sz w:val="24"/>
                <w:szCs w:val="24"/>
                <w:highlight w:val="none"/>
                <w:lang w:val="en-US" w:eastAsia="zh-CN"/>
              </w:rPr>
              <w:t>0.02</w:t>
            </w:r>
            <w:r>
              <w:rPr>
                <w:rFonts w:hint="default" w:ascii="宋体" w:hAnsi="宋体" w:eastAsia="宋体"/>
                <w:b/>
                <w:bCs/>
                <w:sz w:val="24"/>
                <w:szCs w:val="24"/>
                <w:highlight w:val="none"/>
              </w:rPr>
              <w:t>%/年；</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7</w:t>
            </w:r>
            <w:r>
              <w:rPr>
                <w:rFonts w:hint="default" w:ascii="宋体" w:hAnsi="宋体" w:eastAsia="宋体"/>
                <w:b/>
                <w:bCs/>
                <w:sz w:val="24"/>
                <w:szCs w:val="24"/>
                <w:highlight w:val="none"/>
              </w:rPr>
              <w:t>.超额业绩报酬:本理财产品</w:t>
            </w:r>
            <w:r>
              <w:rPr>
                <w:rFonts w:hint="eastAsia" w:ascii="宋体" w:hAnsi="宋体" w:eastAsia="宋体"/>
                <w:b/>
                <w:bCs/>
                <w:sz w:val="24"/>
                <w:szCs w:val="24"/>
                <w:highlight w:val="none"/>
                <w:lang w:val="en-US" w:eastAsia="zh-CN"/>
              </w:rPr>
              <w:t>不</w:t>
            </w:r>
            <w:r>
              <w:rPr>
                <w:rFonts w:hint="default" w:ascii="宋体" w:hAnsi="宋体" w:eastAsia="宋体"/>
                <w:b/>
                <w:bCs/>
                <w:sz w:val="24"/>
                <w:szCs w:val="24"/>
                <w:highlight w:val="none"/>
              </w:rPr>
              <w:t>收取超额业绩报酬；</w:t>
            </w:r>
          </w:p>
          <w:p>
            <w:pPr>
              <w:spacing w:line="300" w:lineRule="auto"/>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8</w:t>
            </w:r>
            <w:r>
              <w:rPr>
                <w:rFonts w:hint="default" w:ascii="宋体" w:hAnsi="宋体" w:eastAsia="宋体"/>
                <w:b/>
                <w:bCs/>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val="en-US" w:eastAsia="zh-CN"/>
              </w:rPr>
              <w:t>9</w:t>
            </w:r>
            <w:r>
              <w:rPr>
                <w:rFonts w:hint="default"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详细内容见本《理财产品说明书》之</w:t>
            </w:r>
            <w:r>
              <w:rPr>
                <w:rFonts w:hint="default"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default"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default"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default" w:ascii="宋体" w:hAnsi="宋体" w:eastAsia="宋体"/>
                <w:b/>
                <w:bCs/>
                <w:sz w:val="24"/>
                <w:szCs w:val="24"/>
                <w:highlight w:val="none"/>
              </w:rPr>
              <w:t>，</w:t>
            </w:r>
            <w:r>
              <w:rPr>
                <w:rFonts w:ascii="宋体" w:hAnsi="宋体" w:eastAsia="宋体"/>
                <w:b/>
                <w:bCs/>
                <w:sz w:val="24"/>
                <w:szCs w:val="24"/>
                <w:highlight w:val="none"/>
              </w:rPr>
              <w:t>利息不计入</w:t>
            </w:r>
            <w:r>
              <w:rPr>
                <w:rFonts w:hint="default"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lang w:eastAsia="zh-CN"/>
              </w:rPr>
            </w:pPr>
            <w:r>
              <w:rPr>
                <w:rFonts w:ascii="宋体" w:hAnsi="宋体" w:eastAsia="宋体"/>
                <w:b/>
                <w:bCs/>
                <w:sz w:val="24"/>
                <w:szCs w:val="24"/>
                <w:highlight w:val="none"/>
              </w:rPr>
              <w:t>3.</w:t>
            </w:r>
            <w:r>
              <w:rPr>
                <w:rFonts w:hint="eastAsia" w:ascii="宋体" w:hAnsi="宋体" w:eastAsia="宋体"/>
                <w:b/>
                <w:bCs/>
                <w:sz w:val="24"/>
                <w:szCs w:val="24"/>
                <w:highlight w:val="none"/>
                <w:lang w:eastAsia="zh-CN"/>
              </w:rPr>
              <w:t>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default"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稳健的投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w:t>
      </w:r>
      <w:r>
        <w:rPr>
          <w:rFonts w:hint="eastAsia" w:ascii="宋体" w:hAnsi="宋体" w:eastAsia="宋体"/>
          <w:sz w:val="24"/>
          <w:szCs w:val="24"/>
          <w:highlight w:val="none"/>
        </w:rPr>
        <w:t>投资于境外金融资产和金融工具的Q</w:t>
      </w:r>
      <w:r>
        <w:rPr>
          <w:rFonts w:ascii="宋体" w:hAnsi="宋体" w:eastAsia="宋体"/>
          <w:sz w:val="24"/>
          <w:szCs w:val="24"/>
          <w:highlight w:val="none"/>
        </w:rPr>
        <w:t>DII</w:t>
      </w:r>
      <w:r>
        <w:rPr>
          <w:rFonts w:hint="eastAsia" w:ascii="宋体" w:hAnsi="宋体" w:eastAsia="宋体"/>
          <w:sz w:val="24"/>
          <w:szCs w:val="24"/>
          <w:highlight w:val="none"/>
        </w:rPr>
        <w:t>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80</w:t>
            </w:r>
            <w:r>
              <w:rPr>
                <w:rFonts w:hint="eastAsia" w:ascii="宋体" w:hAnsi="宋体" w:eastAsia="宋体"/>
                <w:sz w:val="24"/>
                <w:szCs w:val="24"/>
                <w:highlight w:val="none"/>
                <w:lang w:bidi="ar"/>
              </w:rPr>
              <w:t>%</w:t>
            </w:r>
            <w:r>
              <w:rPr>
                <w:rFonts w:hint="eastAsia" w:ascii="宋体" w:hAnsi="宋体" w:eastAsia="宋体"/>
                <w:sz w:val="24"/>
                <w:szCs w:val="24"/>
                <w:highlight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权益类、商品及金融衍生品类资产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p>
        </w:tc>
      </w:tr>
    </w:tbl>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本理财产品建仓期为产品成立日至【</w:t>
      </w:r>
      <w:r>
        <w:rPr>
          <w:rFonts w:hint="eastAsia" w:ascii="宋体" w:hAnsi="宋体" w:eastAsia="宋体"/>
          <w:sz w:val="24"/>
          <w:szCs w:val="24"/>
          <w:highlight w:val="none"/>
          <w:lang w:val="en-US" w:eastAsia="zh-CN"/>
        </w:rPr>
        <w:t>2025</w:t>
      </w:r>
      <w:r>
        <w:rPr>
          <w:rFonts w:hint="eastAsia" w:ascii="宋体" w:hAnsi="宋体" w:eastAsia="宋体"/>
          <w:sz w:val="24"/>
          <w:szCs w:val="24"/>
          <w:highlight w:val="none"/>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】月【</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日，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严控信用风险，通过择时、久期策略，提高理财收益。产品整体以净值稳健增长为目标，在投资运作中主要以存款、同业存单和高等级高流动性信用债资产为主。产品运作过程中定期对所持资产进行定量价值分析，评估资产内在价值，与市场估值进行对比，减仓市场价格超出内在价值的资产，加仓市场价格低于内在价值的资产，通过对持仓资产的动态调整提升组合的安全边际。此外，将紧跟国家政策，关注宏微观经济指标，如经济增长、通货膨胀、机构仓位、货币流动性等，综合判断当前市场情况并动态调整资产组合的久期和杠杆水平。</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25</w:t>
      </w:r>
      <w:r>
        <w:rPr>
          <w:rFonts w:ascii="宋体" w:hAnsi="宋体" w:eastAsia="宋体"/>
          <w:sz w:val="24"/>
          <w:szCs w:val="24"/>
          <w:highlight w:val="none"/>
        </w:rPr>
        <w:t>】年【</w:t>
      </w:r>
      <w:r>
        <w:rPr>
          <w:rFonts w:hint="eastAsia" w:ascii="宋体" w:hAnsi="宋体" w:eastAsia="宋体"/>
          <w:sz w:val="24"/>
          <w:szCs w:val="24"/>
          <w:highlight w:val="none"/>
          <w:lang w:val="en-US" w:eastAsia="zh-CN"/>
        </w:rPr>
        <w:t>3</w:t>
      </w:r>
      <w:r>
        <w:rPr>
          <w:rFonts w:ascii="宋体" w:hAnsi="宋体" w:eastAsia="宋体"/>
          <w:sz w:val="24"/>
          <w:szCs w:val="24"/>
          <w:highlight w:val="none"/>
        </w:rPr>
        <w:t>】月【</w:t>
      </w:r>
      <w:r>
        <w:rPr>
          <w:rFonts w:hint="eastAsia" w:ascii="宋体" w:hAnsi="宋体" w:eastAsia="宋体"/>
          <w:sz w:val="24"/>
          <w:szCs w:val="24"/>
          <w:highlight w:val="none"/>
          <w:lang w:val="en-US" w:eastAsia="zh-CN"/>
        </w:rPr>
        <w:t>6</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25</w:t>
      </w:r>
      <w:r>
        <w:rPr>
          <w:rFonts w:ascii="宋体" w:hAnsi="宋体" w:eastAsia="宋体"/>
          <w:sz w:val="24"/>
          <w:szCs w:val="24"/>
          <w:highlight w:val="none"/>
        </w:rPr>
        <w:t>】年【</w:t>
      </w:r>
      <w:r>
        <w:rPr>
          <w:rFonts w:hint="eastAsia" w:ascii="宋体" w:hAnsi="宋体" w:eastAsia="宋体"/>
          <w:sz w:val="24"/>
          <w:szCs w:val="24"/>
          <w:highlight w:val="none"/>
          <w:lang w:val="en-US" w:eastAsia="zh-CN"/>
        </w:rPr>
        <w:t>3</w:t>
      </w:r>
      <w:r>
        <w:rPr>
          <w:rFonts w:ascii="宋体" w:hAnsi="宋体" w:eastAsia="宋体"/>
          <w:sz w:val="24"/>
          <w:szCs w:val="24"/>
          <w:highlight w:val="none"/>
        </w:rPr>
        <w:t>】月【</w:t>
      </w:r>
      <w:r>
        <w:rPr>
          <w:rFonts w:hint="eastAsia" w:ascii="宋体" w:hAnsi="宋体" w:eastAsia="宋体"/>
          <w:sz w:val="24"/>
          <w:szCs w:val="24"/>
          <w:highlight w:val="none"/>
          <w:lang w:val="en-US" w:eastAsia="zh-CN"/>
        </w:rPr>
        <w:t>6</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w:t>
      </w:r>
      <w:r>
        <w:rPr>
          <w:rFonts w:hint="default"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default" w:ascii="宋体" w:hAnsi="宋体" w:eastAsia="宋体" w:cstheme="minorBidi"/>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①申购。对于投资者提出的申购申请，渤银理财将按照如下方式确认申购申请的有效性。</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申购申请时间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申购确认方式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申购确认日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②赎回。投资者赎回本理财产品时，渤银理财将按照如下方式确认赎回申请的有效性，为投资者扣减份额并支付对应的赎回金额。</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赎回申请时间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赎回确认方式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赎回确认日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cs="宋体"/>
                <w:sz w:val="24"/>
                <w:highlight w:val="none"/>
                <w:lang w:val="en-US" w:eastAsia="zh-CN"/>
              </w:rPr>
              <w:t>3</w:t>
            </w:r>
            <w:r>
              <w:rPr>
                <w:rFonts w:hint="eastAsia" w:ascii="宋体" w:hAnsi="宋体" w:cs="宋体"/>
                <w:sz w:val="24"/>
                <w:highlight w:val="none"/>
              </w:rPr>
              <w:t>个交易日日终前划转至投资者指定账户。该赎回申请于T日后第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cs="宋体"/>
          <w:sz w:val="24"/>
          <w:highlight w:val="none"/>
        </w:rPr>
        <w:t>在开放期内，首次申购起点金额为【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】元整数倍递增。追加申购起点金额为【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default" w:ascii="宋体" w:hAnsi="宋体" w:eastAsia="宋体" w:cstheme="minorBidi"/>
          <w:b/>
          <w:bCs/>
          <w:sz w:val="24"/>
          <w:szCs w:val="24"/>
          <w:highlight w:val="none"/>
        </w:rPr>
        <w:t>10.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11.当接受赎回申请将损害现有投资者利益的情形时，管理人有权设置赎回上限，具体请参见相关公告。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12.</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8"/>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cs="宋体"/>
          <w:sz w:val="24"/>
          <w:highlight w:val="none"/>
          <w:lang w:bidi="ar"/>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本</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（四）巨额赎回的情形及处理认定</w:t>
      </w:r>
    </w:p>
    <w:p>
      <w:pPr>
        <w:numPr>
          <w:ilvl w:val="0"/>
          <w:numId w:val="9"/>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巨额赎回的认定</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eastAsia="宋体" w:cstheme="minorBidi"/>
          <w:b/>
          <w:bCs/>
          <w:sz w:val="24"/>
          <w:szCs w:val="24"/>
          <w:highlight w:val="none"/>
        </w:rPr>
        <w:t>2个开放日</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含</w:t>
      </w:r>
      <w:r>
        <w:rPr>
          <w:rFonts w:hint="default" w:ascii="宋体" w:hAnsi="宋体" w:eastAsia="宋体" w:cstheme="minorBidi"/>
          <w:b/>
          <w:bCs/>
          <w:sz w:val="24"/>
          <w:szCs w:val="24"/>
          <w:highlight w:val="none"/>
        </w:rPr>
        <w:t>）及</w:t>
      </w:r>
      <w:r>
        <w:rPr>
          <w:rFonts w:ascii="宋体" w:hAnsi="宋体" w:eastAsia="宋体" w:cstheme="minorBidi"/>
          <w:b/>
          <w:bCs/>
          <w:sz w:val="24"/>
          <w:szCs w:val="24"/>
          <w:highlight w:val="none"/>
        </w:rPr>
        <w:t>以上发生巨额赎回</w:t>
      </w:r>
      <w:r>
        <w:rPr>
          <w:rFonts w:hint="default" w:ascii="宋体" w:hAnsi="宋体" w:eastAsia="宋体" w:cstheme="minorBidi"/>
          <w:b/>
          <w:bCs/>
          <w:sz w:val="24"/>
          <w:szCs w:val="24"/>
          <w:highlight w:val="none"/>
        </w:rPr>
        <w:t>，即为发生连续巨额赎回。</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（2）巨额赎回的处理方式</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1）全额赎回：</w:t>
      </w:r>
      <w:r>
        <w:rPr>
          <w:rFonts w:ascii="宋体" w:hAnsi="宋体" w:eastAsia="宋体" w:cstheme="minorBidi"/>
          <w:b/>
          <w:bCs/>
          <w:sz w:val="24"/>
          <w:szCs w:val="24"/>
          <w:highlight w:val="none"/>
        </w:rPr>
        <w:t>当管理人有能力支付投资者的全部赎回申请且不会对本理财产品资产净值造成较大波动时，按正常赎回程序执行。</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eastAsia="宋体" w:cstheme="minorBidi"/>
          <w:b/>
          <w:bCs/>
          <w:sz w:val="24"/>
          <w:szCs w:val="24"/>
          <w:highlight w:val="none"/>
          <w:lang w:eastAsia="zh-CN"/>
        </w:rPr>
      </w:pPr>
      <w:r>
        <w:rPr>
          <w:rFonts w:hint="eastAsia" w:ascii="宋体" w:hAnsi="宋体" w:eastAsia="宋体" w:cs="宋体"/>
          <w:sz w:val="24"/>
          <w:highlight w:val="none"/>
          <w:lang w:eastAsia="zh-CN"/>
        </w:rPr>
        <w:t>当发生上述拒绝或暂停接受认购/申购申请的情形时，管理人将在3个交易日内根据本产品说明书约定的信息披露方式向投资者进行信息披露。如果投资者的认购/申购申请被拒绝，被拒绝的认购/申购款项将在5个工作日内全额退还给投资者，扣款日至资金返还日期间是否计付利息，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lang w:eastAsia="zh-CN"/>
        </w:rPr>
      </w:pPr>
      <w:r>
        <w:rPr>
          <w:rFonts w:hint="eastAsia" w:ascii="宋体" w:hAnsi="宋体" w:eastAsia="宋体"/>
          <w:sz w:val="24"/>
          <w:szCs w:val="24"/>
          <w:highlight w:val="none"/>
          <w:lang w:eastAsia="zh-CN"/>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1"/>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default"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default"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七、理财产品的费用与税收</w:t>
      </w:r>
    </w:p>
    <w:p>
      <w:pPr>
        <w:spacing w:line="300" w:lineRule="auto"/>
        <w:ind w:firstLine="482" w:firstLineChars="200"/>
        <w:outlineLvl w:val="1"/>
        <w:rPr>
          <w:rFonts w:hint="default" w:ascii="宋体" w:hAnsi="宋体" w:eastAsia="宋体"/>
          <w:b/>
          <w:bCs/>
          <w:sz w:val="24"/>
          <w:szCs w:val="24"/>
          <w:highlight w:val="none"/>
        </w:rPr>
      </w:pPr>
      <w:r>
        <w:rPr>
          <w:rFonts w:hint="default" w:ascii="宋体" w:hAnsi="宋体" w:eastAsia="宋体"/>
          <w:b/>
          <w:bCs/>
          <w:sz w:val="24"/>
          <w:szCs w:val="24"/>
          <w:highlight w:val="none"/>
        </w:rPr>
        <w:t>（一）理财产品的费用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1</w:t>
      </w:r>
      <w:r>
        <w:rPr>
          <w:rFonts w:hint="default"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default"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default" w:ascii="宋体" w:hAnsi="宋体" w:eastAsia="宋体"/>
          <w:b/>
          <w:bCs/>
          <w:sz w:val="24"/>
          <w:szCs w:val="24"/>
          <w:highlight w:val="none"/>
          <w:lang w:bidi="ar-SA"/>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default"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both"/>
        <w:rPr>
          <w:rFonts w:hint="default" w:ascii="宋体" w:hAnsi="宋体" w:eastAsia="宋体"/>
          <w:b/>
          <w:bCs/>
          <w:sz w:val="24"/>
          <w:szCs w:val="24"/>
          <w:highlight w:val="none"/>
        </w:rPr>
      </w:pPr>
      <w:r>
        <w:rPr>
          <w:rFonts w:ascii="宋体" w:hAnsi="宋体" w:eastAsia="宋体"/>
          <w:b/>
          <w:bCs/>
          <w:sz w:val="24"/>
          <w:szCs w:val="24"/>
          <w:highlight w:val="none"/>
        </w:rPr>
        <w:t>3</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rPr>
        <w:t>管理人收取理财产品固定管理费，</w:t>
      </w:r>
      <w:r>
        <w:rPr>
          <w:rFonts w:hint="default" w:ascii="宋体" w:hAnsi="宋体" w:eastAsia="宋体"/>
          <w:b/>
          <w:bCs/>
          <w:sz w:val="24"/>
          <w:szCs w:val="24"/>
          <w:highlight w:val="none"/>
          <w:lang w:bidi="ar-SA"/>
        </w:rPr>
        <w:t>固定投资管理费率为</w:t>
      </w:r>
      <w:r>
        <w:rPr>
          <w:rFonts w:hint="eastAsia" w:ascii="宋体" w:hAnsi="宋体" w:eastAsia="宋体"/>
          <w:b/>
          <w:bCs/>
          <w:sz w:val="24"/>
          <w:szCs w:val="24"/>
          <w:highlight w:val="none"/>
          <w:lang w:val="en-US" w:eastAsia="zh-CN" w:bidi="ar-SA"/>
        </w:rPr>
        <w:t>0.60</w:t>
      </w:r>
      <w:r>
        <w:rPr>
          <w:rFonts w:ascii="宋体" w:hAnsi="宋体" w:eastAsia="宋体"/>
          <w:b/>
          <w:bCs/>
          <w:sz w:val="24"/>
          <w:szCs w:val="24"/>
          <w:highlight w:val="none"/>
          <w:lang w:bidi="ar-SA"/>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rPr>
        <w:t>固定管理费率</w:t>
      </w:r>
      <w:r>
        <w:rPr>
          <w:rFonts w:ascii="宋体" w:hAnsi="宋体" w:eastAsia="宋体"/>
          <w:b/>
          <w:bCs/>
          <w:sz w:val="24"/>
          <w:szCs w:val="24"/>
          <w:highlight w:val="none"/>
        </w:rPr>
        <w:t>÷365。</w:t>
      </w:r>
      <w:r>
        <w:rPr>
          <w:rFonts w:hint="default"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default" w:ascii="宋体" w:hAnsi="宋体" w:eastAsia="宋体"/>
          <w:b/>
          <w:bCs/>
          <w:sz w:val="24"/>
          <w:szCs w:val="24"/>
          <w:highlight w:val="none"/>
        </w:rPr>
        <w:t>小数点</w:t>
      </w:r>
      <w:r>
        <w:rPr>
          <w:rFonts w:ascii="宋体" w:hAnsi="宋体" w:eastAsia="宋体"/>
          <w:b/>
          <w:bCs/>
          <w:sz w:val="24"/>
          <w:szCs w:val="24"/>
          <w:highlight w:val="none"/>
        </w:rPr>
        <w:t>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4.</w:t>
      </w:r>
      <w:r>
        <w:rPr>
          <w:rFonts w:ascii="宋体" w:hAnsi="宋体" w:eastAsia="宋体"/>
          <w:b/>
          <w:bCs/>
          <w:sz w:val="24"/>
          <w:szCs w:val="24"/>
          <w:highlight w:val="none"/>
        </w:rPr>
        <w:t>销售服务费：</w:t>
      </w:r>
      <w:r>
        <w:rPr>
          <w:rFonts w:hint="default" w:ascii="宋体" w:hAnsi="宋体" w:eastAsia="宋体"/>
          <w:b/>
          <w:bCs/>
          <w:sz w:val="24"/>
          <w:szCs w:val="24"/>
          <w:highlight w:val="none"/>
        </w:rPr>
        <w:t>销售服务机构收取理财产品销售服务费，</w:t>
      </w:r>
      <w:r>
        <w:rPr>
          <w:rFonts w:hint="default" w:ascii="宋体" w:hAnsi="宋体" w:eastAsia="宋体" w:cstheme="minorBidi"/>
          <w:b/>
          <w:bCs/>
          <w:sz w:val="24"/>
          <w:szCs w:val="24"/>
          <w:highlight w:val="none"/>
        </w:rPr>
        <w:t>★</w:t>
      </w:r>
      <w:r>
        <w:rPr>
          <w:rFonts w:hint="eastAsia" w:ascii="宋体" w:hAnsi="宋体" w:eastAsia="宋体"/>
          <w:b/>
          <w:bCs/>
          <w:sz w:val="24"/>
          <w:szCs w:val="24"/>
          <w:highlight w:val="none"/>
          <w:lang w:val="en-US" w:eastAsia="zh-CN"/>
        </w:rPr>
        <w:t>B</w:t>
      </w:r>
      <w:r>
        <w:rPr>
          <w:rFonts w:hint="default" w:ascii="宋体" w:hAnsi="宋体" w:eastAsia="宋体"/>
          <w:b/>
          <w:bCs/>
          <w:sz w:val="24"/>
          <w:szCs w:val="24"/>
          <w:highlight w:val="none"/>
        </w:rPr>
        <w:t>类份额销售服务费率为</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lang w:bidi="ar-SA"/>
        </w:rPr>
        <w:t>销售服务费率</w:t>
      </w:r>
      <w:r>
        <w:rPr>
          <w:rFonts w:ascii="宋体" w:hAnsi="宋体" w:eastAsia="宋体"/>
          <w:b/>
          <w:bCs/>
          <w:sz w:val="24"/>
          <w:szCs w:val="24"/>
          <w:highlight w:val="none"/>
        </w:rPr>
        <w:t>÷365</w:t>
      </w:r>
      <w:r>
        <w:rPr>
          <w:rFonts w:hint="default" w:ascii="宋体" w:hAnsi="宋体" w:eastAsia="宋体"/>
          <w:b/>
          <w:bCs/>
          <w:sz w:val="24"/>
          <w:szCs w:val="24"/>
          <w:highlight w:val="none"/>
        </w:rPr>
        <w:t>。各类份额</w:t>
      </w:r>
      <w:r>
        <w:rPr>
          <w:rFonts w:hint="default" w:ascii="宋体" w:hAnsi="宋体" w:eastAsia="宋体"/>
          <w:b/>
          <w:bCs/>
          <w:sz w:val="24"/>
          <w:szCs w:val="24"/>
          <w:highlight w:val="none"/>
          <w:lang w:bidi="ar-SA"/>
        </w:rPr>
        <w:t>销售服费精确到小数点后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both"/>
        <w:rPr>
          <w:rFonts w:hint="default" w:ascii="宋体" w:hAnsi="宋体" w:eastAsia="宋体"/>
          <w:b/>
          <w:bCs/>
          <w:sz w:val="24"/>
          <w:szCs w:val="24"/>
          <w:highlight w:val="none"/>
        </w:rPr>
      </w:pPr>
      <w:r>
        <w:rPr>
          <w:rFonts w:hint="default" w:ascii="宋体" w:hAnsi="宋体" w:eastAsia="宋体"/>
          <w:b/>
          <w:bCs/>
          <w:sz w:val="24"/>
          <w:szCs w:val="24"/>
          <w:highlight w:val="none"/>
        </w:rPr>
        <w:t>5.</w:t>
      </w:r>
      <w:r>
        <w:rPr>
          <w:rFonts w:ascii="宋体" w:hAnsi="宋体" w:eastAsia="宋体"/>
          <w:b/>
          <w:bCs/>
          <w:sz w:val="24"/>
          <w:szCs w:val="24"/>
          <w:highlight w:val="none"/>
        </w:rPr>
        <w:t>托管费：</w:t>
      </w:r>
      <w:r>
        <w:rPr>
          <w:rFonts w:hint="default"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lang w:val="en-US" w:eastAsia="zh-CN"/>
        </w:rPr>
        <w:t>0.02</w:t>
      </w:r>
      <w:r>
        <w:rPr>
          <w:rFonts w:ascii="宋体" w:hAnsi="宋体" w:eastAsia="宋体"/>
          <w:b/>
          <w:bCs/>
          <w:sz w:val="24"/>
          <w:szCs w:val="24"/>
          <w:highlight w:val="none"/>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default" w:ascii="宋体" w:hAnsi="宋体" w:eastAsia="宋体"/>
          <w:b/>
          <w:bCs/>
          <w:sz w:val="24"/>
          <w:szCs w:val="24"/>
          <w:highlight w:val="none"/>
          <w:lang w:bidi="ar-SA"/>
        </w:rPr>
        <w:t>每个自然日计提的托管费</w:t>
      </w:r>
      <w:r>
        <w:rPr>
          <w:rFonts w:ascii="宋体" w:hAnsi="宋体" w:eastAsia="宋体"/>
          <w:b/>
          <w:bCs/>
          <w:sz w:val="24"/>
          <w:szCs w:val="24"/>
          <w:highlight w:val="none"/>
          <w:lang w:bidi="ar-SA"/>
        </w:rPr>
        <w:t>=</w:t>
      </w:r>
      <w:r>
        <w:rPr>
          <w:rFonts w:hint="default" w:ascii="宋体" w:hAnsi="宋体" w:eastAsia="宋体"/>
          <w:b/>
          <w:bCs/>
          <w:sz w:val="24"/>
          <w:szCs w:val="24"/>
          <w:highlight w:val="none"/>
          <w:lang w:bidi="ar-SA"/>
        </w:rPr>
        <w:t>上一自然日理财产品净资产×托管费率</w:t>
      </w:r>
      <w:r>
        <w:rPr>
          <w:rFonts w:ascii="宋体" w:hAnsi="宋体" w:eastAsia="宋体"/>
          <w:b/>
          <w:bCs/>
          <w:sz w:val="24"/>
          <w:szCs w:val="24"/>
          <w:highlight w:val="none"/>
          <w:lang w:bidi="ar-SA"/>
        </w:rPr>
        <w:t>÷365</w:t>
      </w:r>
      <w:r>
        <w:rPr>
          <w:rFonts w:hint="default" w:ascii="宋体" w:hAnsi="宋体" w:eastAsia="宋体"/>
          <w:b/>
          <w:bCs/>
          <w:sz w:val="24"/>
          <w:szCs w:val="24"/>
          <w:highlight w:val="none"/>
          <w:lang w:bidi="ar-SA"/>
        </w:rPr>
        <w:t>。托管费精确到小数点后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2.</w:t>
      </w:r>
      <w:r>
        <w:rPr>
          <w:rFonts w:hint="eastAsia" w:ascii="宋体" w:hAnsi="宋体" w:eastAsia="宋体"/>
          <w:sz w:val="24"/>
          <w:szCs w:val="24"/>
          <w:highlight w:val="none"/>
          <w:lang w:eastAsia="zh-CN"/>
        </w:rPr>
        <w:t>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1.</w:t>
      </w:r>
      <w:r>
        <w:rPr>
          <w:rFonts w:hint="eastAsia" w:ascii="宋体" w:hAnsi="宋体" w:eastAsia="宋体"/>
          <w:sz w:val="24"/>
          <w:szCs w:val="24"/>
          <w:highlight w:val="none"/>
          <w:lang w:eastAsia="zh-CN"/>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4.</w:t>
      </w:r>
      <w:r>
        <w:rPr>
          <w:rFonts w:hint="eastAsia" w:ascii="宋体" w:hAnsi="宋体" w:eastAsia="宋体"/>
          <w:sz w:val="24"/>
          <w:szCs w:val="24"/>
          <w:highlight w:val="none"/>
          <w:lang w:eastAsia="zh-CN"/>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本理财产品的托管人为渤海银行股份有限公司，地址为天津市海河东路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渤海银行股份有限公司，住所：天津市海河东路218号渤海银行大厦，客户服务热线：</w:t>
      </w:r>
      <w:r>
        <w:rPr>
          <w:rFonts w:hint="eastAsia" w:ascii="宋体" w:hAnsi="宋体" w:eastAsia="宋体"/>
          <w:sz w:val="24"/>
          <w:szCs w:val="24"/>
          <w:highlight w:val="none"/>
          <w:lang w:val="en-US" w:eastAsia="zh-CN"/>
        </w:rPr>
        <w:t>95541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rPr>
        <w:t>上海浦东发展银行股份有限公司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住所：上海市中山东一路12号，客户服务热线：95528。</w:t>
      </w:r>
    </w:p>
    <w:p>
      <w:pPr>
        <w:spacing w:line="300" w:lineRule="auto"/>
        <w:ind w:firstLine="480" w:firstLineChars="200"/>
        <w:rPr>
          <w:rFonts w:hint="eastAsia" w:ascii="宋体" w:hAnsi="宋体" w:eastAsia="宋体"/>
          <w:sz w:val="24"/>
          <w:szCs w:val="24"/>
          <w:highlight w:val="none"/>
          <w:lang w:val="en-US" w:eastAsia="zh-CN"/>
        </w:rPr>
      </w:pPr>
      <w:r>
        <w:rPr>
          <w:rFonts w:hint="default" w:ascii="宋体" w:hAnsi="宋体" w:eastAsia="宋体"/>
          <w:sz w:val="24"/>
          <w:szCs w:val="24"/>
          <w:highlight w:val="none"/>
          <w:lang w:val="en-US" w:eastAsia="zh-CN"/>
        </w:rPr>
        <w:t>唐山银行股份有限公司</w:t>
      </w:r>
      <w:r>
        <w:rPr>
          <w:rFonts w:hint="eastAsia" w:ascii="宋体" w:hAnsi="宋体" w:eastAsia="宋体"/>
          <w:sz w:val="24"/>
          <w:szCs w:val="24"/>
          <w:highlight w:val="none"/>
          <w:lang w:val="en-US" w:eastAsia="zh-CN"/>
        </w:rPr>
        <w:t>，住所：河北省唐山市路南区建设南路19号唐山新世界中心，客户服务热线：0315-96368。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徽商银行股份有限公司，住所：安徽省合肥市云谷路1699号徽银大厦，客户服务热线：40088-96588。</w:t>
      </w:r>
    </w:p>
    <w:p>
      <w:pPr>
        <w:spacing w:line="300" w:lineRule="auto"/>
        <w:ind w:firstLine="480" w:firstLineChars="200"/>
        <w:rPr>
          <w:rFonts w:hint="eastAsia" w:ascii="宋体" w:hAnsi="宋体" w:eastAsia="宋体"/>
          <w:sz w:val="24"/>
          <w:szCs w:val="24"/>
          <w:lang w:val="en-US" w:eastAsia="zh-CN"/>
        </w:rPr>
      </w:pPr>
      <w:r>
        <w:rPr>
          <w:rFonts w:hint="eastAsia" w:ascii="宋体" w:hAnsi="宋体" w:eastAsia="宋体"/>
          <w:sz w:val="24"/>
          <w:szCs w:val="24"/>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lang w:val="en-US" w:eastAsia="zh-CN"/>
        </w:rPr>
      </w:pPr>
      <w:r>
        <w:rPr>
          <w:rFonts w:hint="default" w:ascii="宋体" w:hAnsi="宋体" w:eastAsia="宋体"/>
          <w:sz w:val="24"/>
          <w:szCs w:val="24"/>
          <w:highlight w:val="none"/>
          <w:lang w:val="en-US" w:eastAsia="zh-CN"/>
        </w:rPr>
        <w:t>中国邮政储蓄银行股份有限公司</w:t>
      </w:r>
      <w:r>
        <w:rPr>
          <w:rFonts w:hint="eastAsia" w:ascii="宋体" w:hAnsi="宋体" w:eastAsia="宋体"/>
          <w:sz w:val="24"/>
          <w:szCs w:val="24"/>
          <w:highlight w:val="none"/>
          <w:lang w:val="en-US" w:eastAsia="zh-CN"/>
        </w:rPr>
        <w:t>，住所：北京市西城区金融大街3号，客户服务热线：95580。</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default"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15个工作日内，上半年结束之日起60个工作日内，每年结束之日起90个工作日内编制完成产品的季度报告、半年报告及年度报告。本产品管理人</w:t>
      </w:r>
      <w:r>
        <w:rPr>
          <w:rFonts w:hint="eastAsia" w:ascii="宋体" w:hAnsi="宋体" w:eastAsia="宋体"/>
          <w:sz w:val="24"/>
          <w:szCs w:val="24"/>
          <w:highlight w:val="none"/>
        </w:rPr>
        <w:t>将在定期报告中披露本理财产品在季度、半年和年度最后一个交易日的理财产品资产净值等信息。</w:t>
      </w:r>
      <w:r>
        <w:rPr>
          <w:rFonts w:ascii="宋体" w:hAnsi="宋体" w:eastAsia="宋体"/>
          <w:sz w:val="24"/>
          <w:szCs w:val="24"/>
          <w:highlight w:val="none"/>
        </w:rPr>
        <w:t>逢半年末，当季季度报告合并入半年报告；逢年末，半年度报告合并入年度报告；理财产品成立不足90个工作日或者剩余存续期不超过90个工作日的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default" w:ascii="宋体" w:hAnsi="宋体" w:eastAsia="宋体"/>
          <w:b/>
          <w:bCs/>
          <w:sz w:val="24"/>
          <w:szCs w:val="24"/>
          <w:highlight w:val="none"/>
        </w:rPr>
        <w:t>对</w:t>
      </w:r>
      <w:r>
        <w:rPr>
          <w:rFonts w:ascii="宋体" w:hAnsi="宋体" w:eastAsia="宋体"/>
          <w:b/>
          <w:bCs/>
          <w:sz w:val="24"/>
          <w:szCs w:val="24"/>
          <w:highlight w:val="none"/>
        </w:rPr>
        <w:t>销售</w:t>
      </w:r>
      <w:r>
        <w:rPr>
          <w:rFonts w:hint="default" w:ascii="宋体" w:hAnsi="宋体" w:eastAsia="宋体"/>
          <w:b/>
          <w:bCs/>
          <w:sz w:val="24"/>
          <w:szCs w:val="24"/>
          <w:highlight w:val="none"/>
        </w:rPr>
        <w:t>服务</w:t>
      </w:r>
      <w:r>
        <w:rPr>
          <w:rFonts w:ascii="宋体" w:hAnsi="宋体" w:eastAsia="宋体"/>
          <w:b/>
          <w:bCs/>
          <w:sz w:val="24"/>
          <w:szCs w:val="24"/>
          <w:highlight w:val="none"/>
        </w:rPr>
        <w:t>费率、</w:t>
      </w:r>
      <w:r>
        <w:rPr>
          <w:rFonts w:hint="default"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default"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default" w:ascii="宋体" w:hAnsi="宋体" w:eastAsia="宋体"/>
          <w:b/>
          <w:bCs/>
          <w:sz w:val="24"/>
          <w:szCs w:val="24"/>
          <w:highlight w:val="none"/>
        </w:rPr>
        <w:t>不晚于</w:t>
      </w:r>
      <w:r>
        <w:rPr>
          <w:rFonts w:ascii="宋体" w:hAnsi="宋体" w:eastAsia="宋体"/>
          <w:b/>
          <w:bCs/>
          <w:sz w:val="24"/>
          <w:szCs w:val="24"/>
          <w:highlight w:val="none"/>
        </w:rPr>
        <w:t>调整</w:t>
      </w:r>
      <w:r>
        <w:rPr>
          <w:rFonts w:hint="default"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线下签约方式。本</w:t>
      </w:r>
      <w:r>
        <w:rPr>
          <w:rFonts w:hint="default" w:ascii="宋体" w:hAnsi="宋体" w:eastAsia="宋体"/>
          <w:b/>
          <w:bCs/>
          <w:sz w:val="24"/>
          <w:szCs w:val="24"/>
          <w:highlight w:val="none"/>
        </w:rPr>
        <w:t>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经投资者</w:t>
      </w:r>
      <w:r>
        <w:rPr>
          <w:rFonts w:ascii="宋体" w:hAnsi="宋体" w:eastAsia="宋体"/>
          <w:b/>
          <w:bCs/>
          <w:sz w:val="24"/>
          <w:szCs w:val="24"/>
          <w:highlight w:val="none"/>
        </w:rPr>
        <w:t>签字或盖章（</w:t>
      </w:r>
      <w:r>
        <w:rPr>
          <w:rFonts w:hint="default" w:ascii="宋体" w:hAnsi="宋体" w:eastAsia="宋体"/>
          <w:b/>
          <w:bCs/>
          <w:sz w:val="24"/>
          <w:szCs w:val="24"/>
          <w:highlight w:val="none"/>
        </w:rPr>
        <w:t>投资者</w:t>
      </w:r>
      <w:r>
        <w:rPr>
          <w:rFonts w:ascii="宋体" w:hAnsi="宋体" w:eastAsia="宋体"/>
          <w:b/>
          <w:bCs/>
          <w:sz w:val="24"/>
          <w:szCs w:val="24"/>
          <w:highlight w:val="none"/>
        </w:rPr>
        <w:t>为自然人的，应</w:t>
      </w:r>
      <w:r>
        <w:rPr>
          <w:rFonts w:hint="default"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default"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default"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default"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BC02F1A9"/>
    <w:multiLevelType w:val="singleLevel"/>
    <w:tmpl w:val="BC02F1A9"/>
    <w:lvl w:ilvl="0" w:tentative="0">
      <w:start w:val="6"/>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3C75ABA"/>
    <w:multiLevelType w:val="singleLevel"/>
    <w:tmpl w:val="63C75ABA"/>
    <w:lvl w:ilvl="0" w:tentative="0">
      <w:start w:val="1"/>
      <w:numFmt w:val="decimal"/>
      <w:suff w:val="nothing"/>
      <w:lvlText w:val="（%1）"/>
      <w:lvlJc w:val="left"/>
    </w:lvl>
  </w:abstractNum>
  <w:abstractNum w:abstractNumId="9">
    <w:nsid w:val="63C75ADF"/>
    <w:multiLevelType w:val="singleLevel"/>
    <w:tmpl w:val="63C75ADF"/>
    <w:lvl w:ilvl="0" w:tentative="0">
      <w:start w:val="2"/>
      <w:numFmt w:val="decimal"/>
      <w:suff w:val="nothing"/>
      <w:lvlText w:val="%1）"/>
      <w:lvlJc w:val="left"/>
    </w:lvl>
  </w:abstractNum>
  <w:abstractNum w:abstractNumId="10">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10"/>
  </w:num>
  <w:num w:numId="5">
    <w:abstractNumId w:val="6"/>
  </w:num>
  <w:num w:numId="6">
    <w:abstractNumId w:val="0"/>
  </w:num>
  <w:num w:numId="7">
    <w:abstractNumId w:val="2"/>
  </w:num>
  <w:num w:numId="8">
    <w:abstractNumId w:val="1"/>
  </w:num>
  <w:num w:numId="9">
    <w:abstractNumId w:val="8"/>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68371EB1"/>
    <w:rsid w:val="000035A3"/>
    <w:rsid w:val="00006524"/>
    <w:rsid w:val="0001112B"/>
    <w:rsid w:val="00024CA9"/>
    <w:rsid w:val="00032C9C"/>
    <w:rsid w:val="00036E72"/>
    <w:rsid w:val="00061613"/>
    <w:rsid w:val="000645E4"/>
    <w:rsid w:val="000A69DE"/>
    <w:rsid w:val="000B4D75"/>
    <w:rsid w:val="000C0E42"/>
    <w:rsid w:val="000D10C8"/>
    <w:rsid w:val="000E074E"/>
    <w:rsid w:val="000E5C50"/>
    <w:rsid w:val="000E7773"/>
    <w:rsid w:val="000F0D96"/>
    <w:rsid w:val="000F1FD4"/>
    <w:rsid w:val="000F6272"/>
    <w:rsid w:val="00103833"/>
    <w:rsid w:val="00110210"/>
    <w:rsid w:val="00124E2B"/>
    <w:rsid w:val="0012707B"/>
    <w:rsid w:val="001421F8"/>
    <w:rsid w:val="00147E19"/>
    <w:rsid w:val="00150844"/>
    <w:rsid w:val="00163B7B"/>
    <w:rsid w:val="00165D37"/>
    <w:rsid w:val="001752F7"/>
    <w:rsid w:val="001807C3"/>
    <w:rsid w:val="00195677"/>
    <w:rsid w:val="001959AE"/>
    <w:rsid w:val="001A06FF"/>
    <w:rsid w:val="001A1A0E"/>
    <w:rsid w:val="001A3EF5"/>
    <w:rsid w:val="001B21E7"/>
    <w:rsid w:val="001E028A"/>
    <w:rsid w:val="001E1AF9"/>
    <w:rsid w:val="001F1C0F"/>
    <w:rsid w:val="0021517C"/>
    <w:rsid w:val="002154F6"/>
    <w:rsid w:val="002321DC"/>
    <w:rsid w:val="00232691"/>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D659A"/>
    <w:rsid w:val="003E00C3"/>
    <w:rsid w:val="003E6814"/>
    <w:rsid w:val="00407D60"/>
    <w:rsid w:val="00415C7E"/>
    <w:rsid w:val="00423C7C"/>
    <w:rsid w:val="00432667"/>
    <w:rsid w:val="0044767E"/>
    <w:rsid w:val="0045625D"/>
    <w:rsid w:val="00465DCE"/>
    <w:rsid w:val="0048653D"/>
    <w:rsid w:val="004948FE"/>
    <w:rsid w:val="004A1854"/>
    <w:rsid w:val="004A236F"/>
    <w:rsid w:val="004A24DE"/>
    <w:rsid w:val="004C6CAC"/>
    <w:rsid w:val="004D1068"/>
    <w:rsid w:val="004F07A5"/>
    <w:rsid w:val="004F5F9D"/>
    <w:rsid w:val="00502807"/>
    <w:rsid w:val="00502E84"/>
    <w:rsid w:val="00514F8A"/>
    <w:rsid w:val="005153AB"/>
    <w:rsid w:val="00515C52"/>
    <w:rsid w:val="00530B5B"/>
    <w:rsid w:val="0053234A"/>
    <w:rsid w:val="00534088"/>
    <w:rsid w:val="00542C95"/>
    <w:rsid w:val="00567A24"/>
    <w:rsid w:val="00574352"/>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124B7"/>
    <w:rsid w:val="00625BDB"/>
    <w:rsid w:val="00627B3B"/>
    <w:rsid w:val="006376F3"/>
    <w:rsid w:val="006428F4"/>
    <w:rsid w:val="00657B03"/>
    <w:rsid w:val="006657E6"/>
    <w:rsid w:val="00672892"/>
    <w:rsid w:val="006747AF"/>
    <w:rsid w:val="006819D7"/>
    <w:rsid w:val="00683B72"/>
    <w:rsid w:val="0068684B"/>
    <w:rsid w:val="006A143E"/>
    <w:rsid w:val="006A20BE"/>
    <w:rsid w:val="006A6582"/>
    <w:rsid w:val="006B1605"/>
    <w:rsid w:val="006B4097"/>
    <w:rsid w:val="006B6209"/>
    <w:rsid w:val="006D1D57"/>
    <w:rsid w:val="006D4EEF"/>
    <w:rsid w:val="006E107C"/>
    <w:rsid w:val="006F47C1"/>
    <w:rsid w:val="006F60A6"/>
    <w:rsid w:val="00702580"/>
    <w:rsid w:val="00724287"/>
    <w:rsid w:val="00743FA5"/>
    <w:rsid w:val="00744E2D"/>
    <w:rsid w:val="007472A6"/>
    <w:rsid w:val="007519CB"/>
    <w:rsid w:val="00752553"/>
    <w:rsid w:val="007551B2"/>
    <w:rsid w:val="007559D4"/>
    <w:rsid w:val="00761C97"/>
    <w:rsid w:val="00770105"/>
    <w:rsid w:val="00786181"/>
    <w:rsid w:val="007A3AE2"/>
    <w:rsid w:val="007B0FDF"/>
    <w:rsid w:val="007B2E50"/>
    <w:rsid w:val="007B5637"/>
    <w:rsid w:val="007F356D"/>
    <w:rsid w:val="007F587A"/>
    <w:rsid w:val="00801041"/>
    <w:rsid w:val="00802662"/>
    <w:rsid w:val="00806874"/>
    <w:rsid w:val="00822719"/>
    <w:rsid w:val="00826B53"/>
    <w:rsid w:val="00830BF6"/>
    <w:rsid w:val="00842102"/>
    <w:rsid w:val="008519ED"/>
    <w:rsid w:val="008616C8"/>
    <w:rsid w:val="00863D8A"/>
    <w:rsid w:val="008739B2"/>
    <w:rsid w:val="00876684"/>
    <w:rsid w:val="00880443"/>
    <w:rsid w:val="00895667"/>
    <w:rsid w:val="008A3AF5"/>
    <w:rsid w:val="008B40A4"/>
    <w:rsid w:val="008C69FC"/>
    <w:rsid w:val="008D54DA"/>
    <w:rsid w:val="008F0B03"/>
    <w:rsid w:val="00910843"/>
    <w:rsid w:val="0092237C"/>
    <w:rsid w:val="00923045"/>
    <w:rsid w:val="00936CA0"/>
    <w:rsid w:val="009374FA"/>
    <w:rsid w:val="00937CB2"/>
    <w:rsid w:val="00942924"/>
    <w:rsid w:val="00954DD2"/>
    <w:rsid w:val="00957DD5"/>
    <w:rsid w:val="009617AB"/>
    <w:rsid w:val="0097731B"/>
    <w:rsid w:val="009841CB"/>
    <w:rsid w:val="0099625C"/>
    <w:rsid w:val="009D6D2F"/>
    <w:rsid w:val="009E5A61"/>
    <w:rsid w:val="00A00099"/>
    <w:rsid w:val="00A1581A"/>
    <w:rsid w:val="00A30EE7"/>
    <w:rsid w:val="00A421B5"/>
    <w:rsid w:val="00A84465"/>
    <w:rsid w:val="00A845A7"/>
    <w:rsid w:val="00A91C60"/>
    <w:rsid w:val="00A9432D"/>
    <w:rsid w:val="00A95F46"/>
    <w:rsid w:val="00A97EAB"/>
    <w:rsid w:val="00AD4EFF"/>
    <w:rsid w:val="00AF6071"/>
    <w:rsid w:val="00B11174"/>
    <w:rsid w:val="00B44BE6"/>
    <w:rsid w:val="00B47B47"/>
    <w:rsid w:val="00B47E14"/>
    <w:rsid w:val="00B508C1"/>
    <w:rsid w:val="00B67155"/>
    <w:rsid w:val="00B90DA9"/>
    <w:rsid w:val="00B910EC"/>
    <w:rsid w:val="00BA077E"/>
    <w:rsid w:val="00BB2A3C"/>
    <w:rsid w:val="00BC1A16"/>
    <w:rsid w:val="00BC403D"/>
    <w:rsid w:val="00BC7B12"/>
    <w:rsid w:val="00BC7FF6"/>
    <w:rsid w:val="00BD4136"/>
    <w:rsid w:val="00BD4BBA"/>
    <w:rsid w:val="00BE46E6"/>
    <w:rsid w:val="00BE7624"/>
    <w:rsid w:val="00BF175D"/>
    <w:rsid w:val="00BF73F5"/>
    <w:rsid w:val="00C00F56"/>
    <w:rsid w:val="00C13F12"/>
    <w:rsid w:val="00C1602F"/>
    <w:rsid w:val="00C24BBE"/>
    <w:rsid w:val="00C26F39"/>
    <w:rsid w:val="00C34756"/>
    <w:rsid w:val="00C44A92"/>
    <w:rsid w:val="00C53692"/>
    <w:rsid w:val="00C66903"/>
    <w:rsid w:val="00C66FFE"/>
    <w:rsid w:val="00C83FE0"/>
    <w:rsid w:val="00C85201"/>
    <w:rsid w:val="00C918BF"/>
    <w:rsid w:val="00C92C3D"/>
    <w:rsid w:val="00CB17A0"/>
    <w:rsid w:val="00CB4CCD"/>
    <w:rsid w:val="00CC3AFA"/>
    <w:rsid w:val="00CD40BE"/>
    <w:rsid w:val="00CD6285"/>
    <w:rsid w:val="00CF09F7"/>
    <w:rsid w:val="00CF19EB"/>
    <w:rsid w:val="00CF7BFA"/>
    <w:rsid w:val="00D1596F"/>
    <w:rsid w:val="00D4199C"/>
    <w:rsid w:val="00D509F2"/>
    <w:rsid w:val="00D51C1B"/>
    <w:rsid w:val="00D7058A"/>
    <w:rsid w:val="00D779BC"/>
    <w:rsid w:val="00D77C56"/>
    <w:rsid w:val="00D851F9"/>
    <w:rsid w:val="00DA3C75"/>
    <w:rsid w:val="00DB4447"/>
    <w:rsid w:val="00DD3F60"/>
    <w:rsid w:val="00DD644A"/>
    <w:rsid w:val="00DD6EEF"/>
    <w:rsid w:val="00DE03D4"/>
    <w:rsid w:val="00DE22CB"/>
    <w:rsid w:val="00DE3CCF"/>
    <w:rsid w:val="00DE4D92"/>
    <w:rsid w:val="00E07DC8"/>
    <w:rsid w:val="00E1248D"/>
    <w:rsid w:val="00E176A4"/>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F11109"/>
    <w:rsid w:val="00F25332"/>
    <w:rsid w:val="00F35952"/>
    <w:rsid w:val="00F74E5E"/>
    <w:rsid w:val="00FA7E65"/>
    <w:rsid w:val="00FB63D5"/>
    <w:rsid w:val="00FC00D7"/>
    <w:rsid w:val="00FC04B9"/>
    <w:rsid w:val="00FC1B19"/>
    <w:rsid w:val="00FC38C1"/>
    <w:rsid w:val="00FD0D7E"/>
    <w:rsid w:val="00FD3851"/>
    <w:rsid w:val="00FE188F"/>
    <w:rsid w:val="00FF1FAB"/>
    <w:rsid w:val="013A07AC"/>
    <w:rsid w:val="016C6CB8"/>
    <w:rsid w:val="01B40E48"/>
    <w:rsid w:val="01CC68D5"/>
    <w:rsid w:val="01FE50BC"/>
    <w:rsid w:val="02300265"/>
    <w:rsid w:val="02377367"/>
    <w:rsid w:val="02536EB3"/>
    <w:rsid w:val="027628C1"/>
    <w:rsid w:val="02E65CAB"/>
    <w:rsid w:val="032125FF"/>
    <w:rsid w:val="032E18D0"/>
    <w:rsid w:val="033011B9"/>
    <w:rsid w:val="0332288F"/>
    <w:rsid w:val="03542B62"/>
    <w:rsid w:val="03993696"/>
    <w:rsid w:val="03A34738"/>
    <w:rsid w:val="03D6609D"/>
    <w:rsid w:val="04E93371"/>
    <w:rsid w:val="05181349"/>
    <w:rsid w:val="055B7332"/>
    <w:rsid w:val="057850CE"/>
    <w:rsid w:val="05AF7B68"/>
    <w:rsid w:val="05BE29A4"/>
    <w:rsid w:val="05D50A8F"/>
    <w:rsid w:val="05F00BCD"/>
    <w:rsid w:val="06035414"/>
    <w:rsid w:val="06040F9A"/>
    <w:rsid w:val="062B4B0A"/>
    <w:rsid w:val="062D3106"/>
    <w:rsid w:val="063C3FE7"/>
    <w:rsid w:val="0675224B"/>
    <w:rsid w:val="067B28EF"/>
    <w:rsid w:val="067E3EB5"/>
    <w:rsid w:val="06CD4B74"/>
    <w:rsid w:val="072314C0"/>
    <w:rsid w:val="074D4BD8"/>
    <w:rsid w:val="077547A1"/>
    <w:rsid w:val="078411C8"/>
    <w:rsid w:val="079E00C6"/>
    <w:rsid w:val="07A42E2C"/>
    <w:rsid w:val="07B363A1"/>
    <w:rsid w:val="07ED7261"/>
    <w:rsid w:val="087D641E"/>
    <w:rsid w:val="08A07369"/>
    <w:rsid w:val="08D67DE6"/>
    <w:rsid w:val="091B36AE"/>
    <w:rsid w:val="098C148C"/>
    <w:rsid w:val="09EA1F2A"/>
    <w:rsid w:val="0A0134D2"/>
    <w:rsid w:val="0A2850F6"/>
    <w:rsid w:val="0A4A3AE2"/>
    <w:rsid w:val="0A6B190B"/>
    <w:rsid w:val="0A75237E"/>
    <w:rsid w:val="0A9C5B25"/>
    <w:rsid w:val="0AC35E88"/>
    <w:rsid w:val="0B3B3C49"/>
    <w:rsid w:val="0B552CB2"/>
    <w:rsid w:val="0B66661D"/>
    <w:rsid w:val="0B7877C8"/>
    <w:rsid w:val="0BC62F1C"/>
    <w:rsid w:val="0BE97A81"/>
    <w:rsid w:val="0C576560"/>
    <w:rsid w:val="0C933759"/>
    <w:rsid w:val="0CB3034F"/>
    <w:rsid w:val="0D425DED"/>
    <w:rsid w:val="0D6F4574"/>
    <w:rsid w:val="0D8F7267"/>
    <w:rsid w:val="0D9E5BE6"/>
    <w:rsid w:val="0DE03441"/>
    <w:rsid w:val="0E406396"/>
    <w:rsid w:val="0ECC0D8A"/>
    <w:rsid w:val="0EE70D61"/>
    <w:rsid w:val="0F4A65BE"/>
    <w:rsid w:val="0F631318"/>
    <w:rsid w:val="0F9B2A78"/>
    <w:rsid w:val="0FA5251B"/>
    <w:rsid w:val="0FB8513C"/>
    <w:rsid w:val="0FBA092F"/>
    <w:rsid w:val="0FBC7FE4"/>
    <w:rsid w:val="103E6C0E"/>
    <w:rsid w:val="106B20EB"/>
    <w:rsid w:val="108D4479"/>
    <w:rsid w:val="10AD75EF"/>
    <w:rsid w:val="10D9740D"/>
    <w:rsid w:val="10F42301"/>
    <w:rsid w:val="1150266C"/>
    <w:rsid w:val="118D5786"/>
    <w:rsid w:val="12527021"/>
    <w:rsid w:val="126A20AC"/>
    <w:rsid w:val="12907E1F"/>
    <w:rsid w:val="12F03A8D"/>
    <w:rsid w:val="133B0151"/>
    <w:rsid w:val="136D585C"/>
    <w:rsid w:val="137B6010"/>
    <w:rsid w:val="13CD4BF1"/>
    <w:rsid w:val="13F34CA7"/>
    <w:rsid w:val="14087139"/>
    <w:rsid w:val="14391C5C"/>
    <w:rsid w:val="14694151"/>
    <w:rsid w:val="14864269"/>
    <w:rsid w:val="149013EC"/>
    <w:rsid w:val="14A956EA"/>
    <w:rsid w:val="152A2FC9"/>
    <w:rsid w:val="153D6DEC"/>
    <w:rsid w:val="159E5897"/>
    <w:rsid w:val="15E00013"/>
    <w:rsid w:val="1617420C"/>
    <w:rsid w:val="163070EE"/>
    <w:rsid w:val="16362C2D"/>
    <w:rsid w:val="167A67DF"/>
    <w:rsid w:val="169D49D1"/>
    <w:rsid w:val="16F53929"/>
    <w:rsid w:val="176F4079"/>
    <w:rsid w:val="177F4193"/>
    <w:rsid w:val="17C833DB"/>
    <w:rsid w:val="186E5D8B"/>
    <w:rsid w:val="188075F1"/>
    <w:rsid w:val="18BC72C8"/>
    <w:rsid w:val="18F60A16"/>
    <w:rsid w:val="194A19B6"/>
    <w:rsid w:val="19BB2E89"/>
    <w:rsid w:val="19F81BC6"/>
    <w:rsid w:val="1A5B3DAB"/>
    <w:rsid w:val="1AF12911"/>
    <w:rsid w:val="1B041ED0"/>
    <w:rsid w:val="1B4936D1"/>
    <w:rsid w:val="1BA71B66"/>
    <w:rsid w:val="1BC92847"/>
    <w:rsid w:val="1BDD65D3"/>
    <w:rsid w:val="1C2C60FF"/>
    <w:rsid w:val="1C3950EF"/>
    <w:rsid w:val="1C516DE1"/>
    <w:rsid w:val="1D1539F9"/>
    <w:rsid w:val="1D3E52D1"/>
    <w:rsid w:val="1D3F2331"/>
    <w:rsid w:val="1D60611F"/>
    <w:rsid w:val="1D6B54AE"/>
    <w:rsid w:val="1E030DC8"/>
    <w:rsid w:val="1E352383"/>
    <w:rsid w:val="1E413716"/>
    <w:rsid w:val="1E521BF4"/>
    <w:rsid w:val="1E57266B"/>
    <w:rsid w:val="1FD51345"/>
    <w:rsid w:val="1FF47788"/>
    <w:rsid w:val="2060339D"/>
    <w:rsid w:val="206904BF"/>
    <w:rsid w:val="20A74D0E"/>
    <w:rsid w:val="210B020D"/>
    <w:rsid w:val="21264EDF"/>
    <w:rsid w:val="21A842C7"/>
    <w:rsid w:val="21B948C1"/>
    <w:rsid w:val="21C14661"/>
    <w:rsid w:val="21C959D5"/>
    <w:rsid w:val="21EB48C3"/>
    <w:rsid w:val="22385861"/>
    <w:rsid w:val="2252490D"/>
    <w:rsid w:val="227809D0"/>
    <w:rsid w:val="22D44351"/>
    <w:rsid w:val="2308324D"/>
    <w:rsid w:val="23361551"/>
    <w:rsid w:val="23553444"/>
    <w:rsid w:val="23D017A7"/>
    <w:rsid w:val="23E33E97"/>
    <w:rsid w:val="23EF74E8"/>
    <w:rsid w:val="24444895"/>
    <w:rsid w:val="245A4B65"/>
    <w:rsid w:val="24A3232E"/>
    <w:rsid w:val="24D27693"/>
    <w:rsid w:val="2540053D"/>
    <w:rsid w:val="25572EC0"/>
    <w:rsid w:val="25583F8F"/>
    <w:rsid w:val="25BE790E"/>
    <w:rsid w:val="25CF5599"/>
    <w:rsid w:val="260B5408"/>
    <w:rsid w:val="26511DE8"/>
    <w:rsid w:val="26596DA2"/>
    <w:rsid w:val="27055672"/>
    <w:rsid w:val="276D47EC"/>
    <w:rsid w:val="27A53E9F"/>
    <w:rsid w:val="27AE3794"/>
    <w:rsid w:val="27D308B1"/>
    <w:rsid w:val="27FB0559"/>
    <w:rsid w:val="28660427"/>
    <w:rsid w:val="286E5EC3"/>
    <w:rsid w:val="28A71571"/>
    <w:rsid w:val="293911B4"/>
    <w:rsid w:val="294E4127"/>
    <w:rsid w:val="295E4BA9"/>
    <w:rsid w:val="296C6E71"/>
    <w:rsid w:val="298D1D5A"/>
    <w:rsid w:val="29A55AC6"/>
    <w:rsid w:val="2A102E33"/>
    <w:rsid w:val="2A14318A"/>
    <w:rsid w:val="2A204FD1"/>
    <w:rsid w:val="2A312800"/>
    <w:rsid w:val="2A903B65"/>
    <w:rsid w:val="2AE835BC"/>
    <w:rsid w:val="2B4F3A96"/>
    <w:rsid w:val="2C763105"/>
    <w:rsid w:val="2C871C77"/>
    <w:rsid w:val="2C934F3A"/>
    <w:rsid w:val="2C9D73E4"/>
    <w:rsid w:val="2CA32A24"/>
    <w:rsid w:val="2CD4437F"/>
    <w:rsid w:val="2CE0580D"/>
    <w:rsid w:val="2CEA584E"/>
    <w:rsid w:val="2D5C6165"/>
    <w:rsid w:val="2D8C7517"/>
    <w:rsid w:val="2D95431B"/>
    <w:rsid w:val="2D9D23B7"/>
    <w:rsid w:val="2D9F6730"/>
    <w:rsid w:val="2DA53D49"/>
    <w:rsid w:val="2DDD46D7"/>
    <w:rsid w:val="2E0715EA"/>
    <w:rsid w:val="2E5701DC"/>
    <w:rsid w:val="2E710F25"/>
    <w:rsid w:val="2EC531FA"/>
    <w:rsid w:val="2ED67CAD"/>
    <w:rsid w:val="2F12317E"/>
    <w:rsid w:val="2F43443B"/>
    <w:rsid w:val="2F504A9E"/>
    <w:rsid w:val="2F6273DD"/>
    <w:rsid w:val="2F717EA7"/>
    <w:rsid w:val="2F7C1090"/>
    <w:rsid w:val="2FB0199E"/>
    <w:rsid w:val="2FBF6F5E"/>
    <w:rsid w:val="305B3C7D"/>
    <w:rsid w:val="305D1B08"/>
    <w:rsid w:val="306A79DD"/>
    <w:rsid w:val="30820253"/>
    <w:rsid w:val="30920BAF"/>
    <w:rsid w:val="30A0380E"/>
    <w:rsid w:val="30C21AC9"/>
    <w:rsid w:val="30E54651"/>
    <w:rsid w:val="31026D63"/>
    <w:rsid w:val="313F2733"/>
    <w:rsid w:val="314544DD"/>
    <w:rsid w:val="314A3D5B"/>
    <w:rsid w:val="316B25B6"/>
    <w:rsid w:val="31855E3D"/>
    <w:rsid w:val="31911E35"/>
    <w:rsid w:val="31927D00"/>
    <w:rsid w:val="319C4144"/>
    <w:rsid w:val="31F511BA"/>
    <w:rsid w:val="32536E98"/>
    <w:rsid w:val="32937E11"/>
    <w:rsid w:val="32B80440"/>
    <w:rsid w:val="32C5051B"/>
    <w:rsid w:val="3332690B"/>
    <w:rsid w:val="334457E6"/>
    <w:rsid w:val="34982340"/>
    <w:rsid w:val="34BA214A"/>
    <w:rsid w:val="34C96E8B"/>
    <w:rsid w:val="34D96E0E"/>
    <w:rsid w:val="34E058A4"/>
    <w:rsid w:val="3517466A"/>
    <w:rsid w:val="3541567F"/>
    <w:rsid w:val="35561891"/>
    <w:rsid w:val="3599166B"/>
    <w:rsid w:val="35C42453"/>
    <w:rsid w:val="3649547D"/>
    <w:rsid w:val="36745C03"/>
    <w:rsid w:val="36BD4AB8"/>
    <w:rsid w:val="36ED3C18"/>
    <w:rsid w:val="37492D4C"/>
    <w:rsid w:val="37CF70A9"/>
    <w:rsid w:val="380776D4"/>
    <w:rsid w:val="38093F4C"/>
    <w:rsid w:val="38783B96"/>
    <w:rsid w:val="38B707F1"/>
    <w:rsid w:val="38F544FF"/>
    <w:rsid w:val="39267194"/>
    <w:rsid w:val="394E292A"/>
    <w:rsid w:val="397C2C14"/>
    <w:rsid w:val="39897BF7"/>
    <w:rsid w:val="39CB465D"/>
    <w:rsid w:val="39D22E88"/>
    <w:rsid w:val="39DD33C8"/>
    <w:rsid w:val="39F12FDB"/>
    <w:rsid w:val="39FC0D5F"/>
    <w:rsid w:val="3A13730E"/>
    <w:rsid w:val="3A2200A7"/>
    <w:rsid w:val="3AD16475"/>
    <w:rsid w:val="3AE81C1E"/>
    <w:rsid w:val="3AF73E80"/>
    <w:rsid w:val="3AF74B45"/>
    <w:rsid w:val="3BAD2893"/>
    <w:rsid w:val="3BB6395F"/>
    <w:rsid w:val="3C27601C"/>
    <w:rsid w:val="3C540446"/>
    <w:rsid w:val="3C605EE0"/>
    <w:rsid w:val="3CBF57D4"/>
    <w:rsid w:val="3CEE5D90"/>
    <w:rsid w:val="3D2A07D7"/>
    <w:rsid w:val="3D8E5F6C"/>
    <w:rsid w:val="3DC9235F"/>
    <w:rsid w:val="3E045955"/>
    <w:rsid w:val="3E2928AA"/>
    <w:rsid w:val="3E303E9B"/>
    <w:rsid w:val="3E7C30D1"/>
    <w:rsid w:val="3EC373AA"/>
    <w:rsid w:val="3F285723"/>
    <w:rsid w:val="3F2E146F"/>
    <w:rsid w:val="3F624CF5"/>
    <w:rsid w:val="3FAD71CA"/>
    <w:rsid w:val="401C0657"/>
    <w:rsid w:val="404410E0"/>
    <w:rsid w:val="405139D2"/>
    <w:rsid w:val="40774519"/>
    <w:rsid w:val="407A0246"/>
    <w:rsid w:val="41451DE3"/>
    <w:rsid w:val="421C341D"/>
    <w:rsid w:val="4226002E"/>
    <w:rsid w:val="425101DD"/>
    <w:rsid w:val="425E3CE6"/>
    <w:rsid w:val="42662B39"/>
    <w:rsid w:val="42E2671F"/>
    <w:rsid w:val="42EA450B"/>
    <w:rsid w:val="42EB1794"/>
    <w:rsid w:val="43312EC1"/>
    <w:rsid w:val="43B006A9"/>
    <w:rsid w:val="4442375D"/>
    <w:rsid w:val="44673A6C"/>
    <w:rsid w:val="446A7766"/>
    <w:rsid w:val="44727382"/>
    <w:rsid w:val="4488447C"/>
    <w:rsid w:val="449F4D4D"/>
    <w:rsid w:val="44B04DA8"/>
    <w:rsid w:val="44E05F8D"/>
    <w:rsid w:val="45126549"/>
    <w:rsid w:val="45A81610"/>
    <w:rsid w:val="463D1398"/>
    <w:rsid w:val="46467996"/>
    <w:rsid w:val="467A71E9"/>
    <w:rsid w:val="46CD32DA"/>
    <w:rsid w:val="46CD5B27"/>
    <w:rsid w:val="472D4AE4"/>
    <w:rsid w:val="475A0E25"/>
    <w:rsid w:val="477433AA"/>
    <w:rsid w:val="47903713"/>
    <w:rsid w:val="47B13336"/>
    <w:rsid w:val="47EC2593"/>
    <w:rsid w:val="481D7858"/>
    <w:rsid w:val="48252C8E"/>
    <w:rsid w:val="4844501C"/>
    <w:rsid w:val="487D0486"/>
    <w:rsid w:val="487E6827"/>
    <w:rsid w:val="488D1BB3"/>
    <w:rsid w:val="489F3B56"/>
    <w:rsid w:val="48D55C81"/>
    <w:rsid w:val="49B56187"/>
    <w:rsid w:val="4A280604"/>
    <w:rsid w:val="4A6E5359"/>
    <w:rsid w:val="4AA80315"/>
    <w:rsid w:val="4AA8729E"/>
    <w:rsid w:val="4AF56EC6"/>
    <w:rsid w:val="4BF547E4"/>
    <w:rsid w:val="4C452A2E"/>
    <w:rsid w:val="4C5C4C14"/>
    <w:rsid w:val="4C70693C"/>
    <w:rsid w:val="4C957E34"/>
    <w:rsid w:val="4C9C21E9"/>
    <w:rsid w:val="4CA73341"/>
    <w:rsid w:val="4CA74208"/>
    <w:rsid w:val="4CDC3F89"/>
    <w:rsid w:val="4CFD5365"/>
    <w:rsid w:val="4D0B1526"/>
    <w:rsid w:val="4DCB5250"/>
    <w:rsid w:val="4E0B450E"/>
    <w:rsid w:val="4E284490"/>
    <w:rsid w:val="4F873962"/>
    <w:rsid w:val="4F92738F"/>
    <w:rsid w:val="4FA662CE"/>
    <w:rsid w:val="4FB63CF5"/>
    <w:rsid w:val="4FC17B04"/>
    <w:rsid w:val="4FFF2B45"/>
    <w:rsid w:val="500037D4"/>
    <w:rsid w:val="50205D85"/>
    <w:rsid w:val="502305CE"/>
    <w:rsid w:val="50932F0F"/>
    <w:rsid w:val="50A57CD0"/>
    <w:rsid w:val="50EB273B"/>
    <w:rsid w:val="50F87889"/>
    <w:rsid w:val="514B229E"/>
    <w:rsid w:val="517860F3"/>
    <w:rsid w:val="51860E9E"/>
    <w:rsid w:val="51C5561C"/>
    <w:rsid w:val="51E93CF9"/>
    <w:rsid w:val="52033628"/>
    <w:rsid w:val="524A4D58"/>
    <w:rsid w:val="52955FB3"/>
    <w:rsid w:val="52F42575"/>
    <w:rsid w:val="53531B4B"/>
    <w:rsid w:val="53591516"/>
    <w:rsid w:val="536329BD"/>
    <w:rsid w:val="53647DA3"/>
    <w:rsid w:val="5414133C"/>
    <w:rsid w:val="547718A4"/>
    <w:rsid w:val="54BA2EAE"/>
    <w:rsid w:val="54FC51E9"/>
    <w:rsid w:val="54FD5792"/>
    <w:rsid w:val="55136C21"/>
    <w:rsid w:val="552228C3"/>
    <w:rsid w:val="55A93686"/>
    <w:rsid w:val="55E114D5"/>
    <w:rsid w:val="564A3398"/>
    <w:rsid w:val="5654427E"/>
    <w:rsid w:val="56C4107E"/>
    <w:rsid w:val="57045D5A"/>
    <w:rsid w:val="57154009"/>
    <w:rsid w:val="571B4C1B"/>
    <w:rsid w:val="576E2C58"/>
    <w:rsid w:val="5898741A"/>
    <w:rsid w:val="58EC44DE"/>
    <w:rsid w:val="592120C0"/>
    <w:rsid w:val="59331502"/>
    <w:rsid w:val="594C5E66"/>
    <w:rsid w:val="599778BB"/>
    <w:rsid w:val="59E545C2"/>
    <w:rsid w:val="5A401792"/>
    <w:rsid w:val="5AB10205"/>
    <w:rsid w:val="5B1B13D1"/>
    <w:rsid w:val="5B9E5F04"/>
    <w:rsid w:val="5C1D1464"/>
    <w:rsid w:val="5C9E6A24"/>
    <w:rsid w:val="5D81625E"/>
    <w:rsid w:val="5D906BF5"/>
    <w:rsid w:val="5DB47334"/>
    <w:rsid w:val="5DC33751"/>
    <w:rsid w:val="5E172770"/>
    <w:rsid w:val="5E317753"/>
    <w:rsid w:val="5E3D0404"/>
    <w:rsid w:val="5F3E2104"/>
    <w:rsid w:val="5F6E31CD"/>
    <w:rsid w:val="5FCC0D29"/>
    <w:rsid w:val="60286820"/>
    <w:rsid w:val="60555FE4"/>
    <w:rsid w:val="60CB4152"/>
    <w:rsid w:val="60CD632C"/>
    <w:rsid w:val="60CF3E48"/>
    <w:rsid w:val="60F40A4B"/>
    <w:rsid w:val="610F0A2B"/>
    <w:rsid w:val="612C42F2"/>
    <w:rsid w:val="612E74FF"/>
    <w:rsid w:val="61427D4E"/>
    <w:rsid w:val="616C4576"/>
    <w:rsid w:val="61AE3C5C"/>
    <w:rsid w:val="61C1436C"/>
    <w:rsid w:val="61DE4850"/>
    <w:rsid w:val="61FD7C20"/>
    <w:rsid w:val="62153A13"/>
    <w:rsid w:val="62223D9A"/>
    <w:rsid w:val="62543634"/>
    <w:rsid w:val="6284234E"/>
    <w:rsid w:val="62AE1103"/>
    <w:rsid w:val="63075C78"/>
    <w:rsid w:val="634D3135"/>
    <w:rsid w:val="63570415"/>
    <w:rsid w:val="63990AB5"/>
    <w:rsid w:val="63F27705"/>
    <w:rsid w:val="645F16B8"/>
    <w:rsid w:val="647D06BF"/>
    <w:rsid w:val="64A0181F"/>
    <w:rsid w:val="64C54636"/>
    <w:rsid w:val="650961CA"/>
    <w:rsid w:val="650A4CE3"/>
    <w:rsid w:val="652F4849"/>
    <w:rsid w:val="653B6DB7"/>
    <w:rsid w:val="657B34F3"/>
    <w:rsid w:val="65A208EF"/>
    <w:rsid w:val="65B6240C"/>
    <w:rsid w:val="65CA0FF0"/>
    <w:rsid w:val="65EE2C12"/>
    <w:rsid w:val="66787AF8"/>
    <w:rsid w:val="66C47EC6"/>
    <w:rsid w:val="66D53FEE"/>
    <w:rsid w:val="66F73C73"/>
    <w:rsid w:val="67201A40"/>
    <w:rsid w:val="67515402"/>
    <w:rsid w:val="679B4A1A"/>
    <w:rsid w:val="680A7425"/>
    <w:rsid w:val="68224AB7"/>
    <w:rsid w:val="68371EB1"/>
    <w:rsid w:val="685A75E8"/>
    <w:rsid w:val="68615EDB"/>
    <w:rsid w:val="68F52B6F"/>
    <w:rsid w:val="68FD24D6"/>
    <w:rsid w:val="69017C1D"/>
    <w:rsid w:val="691A4459"/>
    <w:rsid w:val="692D0390"/>
    <w:rsid w:val="69556EB7"/>
    <w:rsid w:val="69834409"/>
    <w:rsid w:val="6A0551DE"/>
    <w:rsid w:val="6A120D25"/>
    <w:rsid w:val="6A2A5219"/>
    <w:rsid w:val="6AF93859"/>
    <w:rsid w:val="6B005FF4"/>
    <w:rsid w:val="6B0C128C"/>
    <w:rsid w:val="6B0F5C47"/>
    <w:rsid w:val="6B125020"/>
    <w:rsid w:val="6B4500D3"/>
    <w:rsid w:val="6BD27171"/>
    <w:rsid w:val="6BFA7F32"/>
    <w:rsid w:val="6C963BCE"/>
    <w:rsid w:val="6CF1031B"/>
    <w:rsid w:val="6D36084C"/>
    <w:rsid w:val="6D624F82"/>
    <w:rsid w:val="6D6738CE"/>
    <w:rsid w:val="6DCE1423"/>
    <w:rsid w:val="6E5D42F4"/>
    <w:rsid w:val="6EB9047F"/>
    <w:rsid w:val="6EC05DE2"/>
    <w:rsid w:val="6ED802A2"/>
    <w:rsid w:val="6F0A4E44"/>
    <w:rsid w:val="6F2D3D83"/>
    <w:rsid w:val="6F6C51AB"/>
    <w:rsid w:val="6F8705F8"/>
    <w:rsid w:val="6FC54D50"/>
    <w:rsid w:val="6FC63738"/>
    <w:rsid w:val="6FE3120F"/>
    <w:rsid w:val="701A1470"/>
    <w:rsid w:val="70516DB9"/>
    <w:rsid w:val="70572659"/>
    <w:rsid w:val="70DB7E0E"/>
    <w:rsid w:val="70F62EA0"/>
    <w:rsid w:val="710E46EC"/>
    <w:rsid w:val="712C4902"/>
    <w:rsid w:val="71384415"/>
    <w:rsid w:val="717C6EE8"/>
    <w:rsid w:val="71B37311"/>
    <w:rsid w:val="71BE54CD"/>
    <w:rsid w:val="721D2A0D"/>
    <w:rsid w:val="722517F9"/>
    <w:rsid w:val="728523DB"/>
    <w:rsid w:val="72911A25"/>
    <w:rsid w:val="7375573E"/>
    <w:rsid w:val="73B04906"/>
    <w:rsid w:val="73B475C3"/>
    <w:rsid w:val="73CB0206"/>
    <w:rsid w:val="73DD45C2"/>
    <w:rsid w:val="7421270C"/>
    <w:rsid w:val="742A058B"/>
    <w:rsid w:val="74BA419B"/>
    <w:rsid w:val="74D41120"/>
    <w:rsid w:val="74EA6C4B"/>
    <w:rsid w:val="751B464E"/>
    <w:rsid w:val="755C07D6"/>
    <w:rsid w:val="7571027E"/>
    <w:rsid w:val="757E009D"/>
    <w:rsid w:val="75A95211"/>
    <w:rsid w:val="75B85499"/>
    <w:rsid w:val="75E87AC0"/>
    <w:rsid w:val="760D1F61"/>
    <w:rsid w:val="76754CBB"/>
    <w:rsid w:val="768322FB"/>
    <w:rsid w:val="76F81FC6"/>
    <w:rsid w:val="771213D8"/>
    <w:rsid w:val="77127EBF"/>
    <w:rsid w:val="774D0067"/>
    <w:rsid w:val="775C04C5"/>
    <w:rsid w:val="77753DAA"/>
    <w:rsid w:val="77DB2ADA"/>
    <w:rsid w:val="77DD60B4"/>
    <w:rsid w:val="782A4815"/>
    <w:rsid w:val="789828EB"/>
    <w:rsid w:val="78A9770C"/>
    <w:rsid w:val="78AB11DE"/>
    <w:rsid w:val="78D72BBA"/>
    <w:rsid w:val="78EF5F1F"/>
    <w:rsid w:val="78FA401A"/>
    <w:rsid w:val="79036C4A"/>
    <w:rsid w:val="792403B1"/>
    <w:rsid w:val="797804DF"/>
    <w:rsid w:val="7A933FC1"/>
    <w:rsid w:val="7B1153C0"/>
    <w:rsid w:val="7B43173F"/>
    <w:rsid w:val="7B4A5D58"/>
    <w:rsid w:val="7B515097"/>
    <w:rsid w:val="7B823B87"/>
    <w:rsid w:val="7BBC0F7E"/>
    <w:rsid w:val="7BE105FE"/>
    <w:rsid w:val="7C4272C0"/>
    <w:rsid w:val="7CA82D21"/>
    <w:rsid w:val="7D112490"/>
    <w:rsid w:val="7D255511"/>
    <w:rsid w:val="7DAD344E"/>
    <w:rsid w:val="7DD55341"/>
    <w:rsid w:val="7DFA229B"/>
    <w:rsid w:val="7E727180"/>
    <w:rsid w:val="7E8F16A4"/>
    <w:rsid w:val="7EAE2D9A"/>
    <w:rsid w:val="7F0E638A"/>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8</Pages>
  <Words>5614</Words>
  <Characters>32006</Characters>
  <Lines>266</Lines>
  <Paragraphs>75</Paragraphs>
  <TotalTime>0</TotalTime>
  <ScaleCrop>false</ScaleCrop>
  <LinksUpToDate>false</LinksUpToDate>
  <CharactersWithSpaces>37545</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2023-06-06T01:27:00Z</dcterms:created>
  <cp:lastModifiedBy>bylccpglb</cp:lastModifiedBy>
  <cp:lastPrinted>2025-03-03T06:03:00Z</cp:lastPrinted>
  <dcterms:modified xsi:type="dcterms:W3CDTF">2026-07-09T03:21:29Z</dcterms:modified>
  <cp:revision>203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551ECFD2FC4F4A318FB629520D1EAE1A_12</vt:lpwstr>
  </property>
</Properties>
</file>