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2" w:name="_GoBack"/>
      <w:bookmarkEnd w:id="2"/>
      <w:r>
        <w:rPr>
          <w:rFonts w:hint="eastAsia" w:ascii="华文仿宋" w:hAnsi="华文仿宋" w:eastAsia="华文仿宋" w:cs="华文仿宋"/>
          <w:b/>
          <w:bCs/>
          <w:sz w:val="32"/>
          <w:szCs w:val="32"/>
          <w:highlight w:val="none"/>
          <w:lang w:val="en-US" w:eastAsia="zh-CN"/>
        </w:rPr>
        <w:t>渤银理财财收有略系列固定收益类三个月封闭式理财产品2026年47号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8"/>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8"/>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8"/>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8"/>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8"/>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8"/>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8"/>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8"/>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中国银行股份有限公司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渤银理财财收有略系列固定收益类三个月封闭式理财产品2026年47号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渤银理财财收有略系列固定收益类三个月封闭式理财产品2026年47号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CSFB3M26047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渤银理财财收有略三个月2026年47号A款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渤银理财财收有略三个月2026年47号B款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渤银理财财收有略三个月2026年47号C款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渤银理财财收有略三个月2026年47号D款</w:t>
            </w:r>
            <w:r>
              <w:rPr>
                <w:rFonts w:hint="eastAsia" w:ascii="宋体" w:hAnsi="宋体" w:eastAsia="宋体"/>
                <w:sz w:val="24"/>
                <w:szCs w:val="24"/>
                <w:highlight w:val="none"/>
                <w:lang w:eastAsia="zh-CN"/>
              </w:rPr>
              <w:t>】</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产品销售代码：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CSFB3M26047A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CSFB3M26047B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CSFB3M26047C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CSFB3M26047D</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eastAsia="zh-CN"/>
              </w:rPr>
              <w:t>Z7008426000595</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中国银行股份有限公司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：山西银行股份有限公司、内蒙古银行股份有限公司、福建海峡银行股份有限公司、天津农村商业银行股份有限公司、富滇银行股份有限公司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渤海银行股份有限公司、温州银行股份有限公司、嘉兴银行股份有限公司、日照银行股份有限公司、秦皇岛银行股份有限公司，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兴业银行股份有限公司、山西银行股份有限公司、盛京银行股份有限公司、吉林银行股份有限公司、唐山银行股份有限公司、厦门银行股份有限公司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渤海银行股份有限公司、中信银行股份有限公司、盛京银行股份有限公司、苏州银行股份有限公司、日照银行股份有限公司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7亿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rPr>
              <w:t>：认购起点为人民币</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w:t>
            </w:r>
            <w:r>
              <w:rPr>
                <w:rFonts w:hint="eastAsia" w:ascii="宋体" w:hAnsi="宋体" w:eastAsia="宋体"/>
                <w:sz w:val="24"/>
                <w:szCs w:val="24"/>
                <w:highlight w:val="none"/>
                <w:lang w:eastAsia="zh-CN"/>
              </w:rPr>
              <w:t>】</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rPr>
              <w:t>：认购起点为人民币</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w:t>
            </w:r>
            <w:r>
              <w:rPr>
                <w:rFonts w:hint="eastAsia" w:ascii="宋体" w:hAnsi="宋体" w:eastAsia="宋体"/>
                <w:sz w:val="24"/>
                <w:szCs w:val="24"/>
                <w:highlight w:val="none"/>
                <w:lang w:eastAsia="zh-CN"/>
              </w:rPr>
              <w:t>】</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ind w:left="0" w:firstLine="0" w:firstLineChars="0"/>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2026年7月15日9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2026年7月22日17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2026年7月23日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2026年7月23日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w:t>
            </w:r>
            <w:r>
              <w:rPr>
                <w:rFonts w:hint="eastAsia" w:ascii="宋体" w:hAnsi="宋体" w:eastAsia="宋体"/>
                <w:sz w:val="24"/>
                <w:szCs w:val="24"/>
                <w:highlight w:val="none"/>
              </w:rPr>
              <w:t>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2026年11月12日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112</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1.86%-1.96%</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1.96%-2.06%</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2.06%-2.16%</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2.11%-2.21%</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为固定收益类产品，以产品投资债券类资产仓位90%-100%，权益类资产仓位0-10%为例，根据当前市场环境下大类资产配置比例及大类资产收益情况，考虑杠杆和费率等因素，并结合产品投资策略进行测算，确定本产品业绩比较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1.91%</w:t>
            </w:r>
            <w:r>
              <w:rPr>
                <w:rFonts w:hint="eastAsia" w:ascii="宋体" w:hAnsi="宋体" w:eastAsia="宋体"/>
                <w:b/>
                <w:bCs/>
                <w:sz w:val="24"/>
                <w:szCs w:val="24"/>
                <w:highlight w:val="none"/>
              </w:rPr>
              <w:t>】</w:t>
            </w:r>
          </w:p>
          <w:p>
            <w:pPr>
              <w:numPr>
                <w:ilvl w:val="-1"/>
                <w:numId w:val="0"/>
              </w:numPr>
              <w:spacing w:line="300" w:lineRule="auto"/>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2.01%</w:t>
            </w:r>
            <w:r>
              <w:rPr>
                <w:rFonts w:hint="eastAsia" w:ascii="宋体" w:hAnsi="宋体" w:eastAsia="宋体"/>
                <w:b/>
                <w:bCs/>
                <w:sz w:val="24"/>
                <w:szCs w:val="24"/>
                <w:highlight w:val="none"/>
              </w:rPr>
              <w:t>】</w:t>
            </w:r>
          </w:p>
          <w:p>
            <w:pPr>
              <w:numPr>
                <w:ilvl w:val="-1"/>
                <w:numId w:val="0"/>
              </w:numPr>
              <w:spacing w:line="300" w:lineRule="auto"/>
              <w:rPr>
                <w:rFonts w:hint="eastAsia" w:ascii="宋体" w:hAnsi="宋体" w:eastAsia="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C</w:t>
            </w:r>
            <w:r>
              <w:rPr>
                <w:rFonts w:hint="eastAsia" w:ascii="宋体" w:hAnsi="宋体" w:eastAsia="宋体" w:cs="宋体"/>
                <w:b/>
                <w:bCs/>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2.11%</w:t>
            </w:r>
            <w:r>
              <w:rPr>
                <w:rFonts w:hint="eastAsia" w:ascii="宋体" w:hAnsi="宋体" w:eastAsia="宋体"/>
                <w:b/>
                <w:bCs/>
                <w:sz w:val="24"/>
                <w:szCs w:val="24"/>
                <w:highlight w:val="none"/>
              </w:rPr>
              <w:t>】</w:t>
            </w:r>
          </w:p>
          <w:p>
            <w:pPr>
              <w:numPr>
                <w:ilvl w:val="-1"/>
                <w:numId w:val="0"/>
              </w:numPr>
              <w:spacing w:line="300" w:lineRule="auto"/>
              <w:rPr>
                <w:rFonts w:hint="eastAsia" w:ascii="宋体" w:hAnsi="宋体" w:eastAsia="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D</w:t>
            </w:r>
            <w:r>
              <w:rPr>
                <w:rFonts w:hint="eastAsia" w:ascii="宋体" w:hAnsi="宋体" w:eastAsia="宋体" w:cs="宋体"/>
                <w:b/>
                <w:bCs/>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2.16%</w:t>
            </w:r>
            <w:r>
              <w:rPr>
                <w:rFonts w:hint="eastAsia"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C</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b/>
                <w:bCs/>
                <w:sz w:val="24"/>
                <w:szCs w:val="24"/>
                <w:highlight w:val="none"/>
                <w:lang w:eastAsia="zh-CN"/>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D</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b/>
                <w:bCs/>
                <w:sz w:val="24"/>
                <w:szCs w:val="24"/>
                <w:highlight w:val="none"/>
                <w:lang w:eastAsia="zh-CN"/>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0.01</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0.01</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90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ind w:firstLine="482" w:firstLineChars="200"/>
        <w:outlineLvl w:val="1"/>
        <w:rPr>
          <w:rFonts w:ascii="宋体" w:hAnsi="宋体" w:eastAsia="宋体"/>
          <w:b/>
          <w:bCs/>
          <w:sz w:val="24"/>
          <w:szCs w:val="24"/>
          <w:highlight w:val="none"/>
        </w:rPr>
      </w:pPr>
      <w:r>
        <w:rPr>
          <w:rFonts w:hint="eastAsia" w:ascii="宋体" w:hAnsi="宋体" w:eastAsia="宋体"/>
          <w:b/>
          <w:bCs/>
          <w:sz w:val="24"/>
          <w:szCs w:val="24"/>
          <w:highlight w:val="none"/>
        </w:rPr>
        <w:t>（一）投资目标</w:t>
      </w:r>
    </w:p>
    <w:p>
      <w:pPr>
        <w:spacing w:line="300" w:lineRule="auto"/>
        <w:ind w:firstLine="480" w:firstLineChars="200"/>
        <w:jc w:val="left"/>
        <w:rPr>
          <w:rFonts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ind w:firstLine="482" w:firstLineChars="200"/>
        <w:jc w:val="left"/>
        <w:outlineLvl w:val="1"/>
        <w:rPr>
          <w:rFonts w:ascii="宋体" w:hAnsi="宋体" w:eastAsia="宋体"/>
          <w:b/>
          <w:bCs/>
          <w:sz w:val="24"/>
          <w:szCs w:val="24"/>
          <w:highlight w:val="none"/>
        </w:rPr>
      </w:pPr>
      <w:r>
        <w:rPr>
          <w:rFonts w:hint="eastAsia" w:ascii="宋体" w:hAnsi="宋体" w:eastAsia="宋体"/>
          <w:b/>
          <w:bCs/>
          <w:sz w:val="24"/>
          <w:szCs w:val="24"/>
          <w:highlight w:val="none"/>
        </w:rPr>
        <w:t>（二）投资范围和投资比例</w:t>
      </w:r>
    </w:p>
    <w:p>
      <w:pPr>
        <w:spacing w:line="300" w:lineRule="auto"/>
        <w:ind w:firstLine="480" w:firstLineChars="200"/>
        <w:jc w:val="left"/>
        <w:outlineLvl w:val="2"/>
        <w:rPr>
          <w:rFonts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一般性存款、结构性存款、同业存单、其他货币市场工具、银行间市场和证券交易所发行的债券、货币市场基金、债券基金、债券质押式及买断式回购、资产支持证券、可转换债券、可交换债券、收益凭证，以上述资产为主要投资范围的公募基金、信托计划、资产管理计划等资产管理产品，及其他符合监管要求的债权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（2）权益类、混合类资产管理产品（包括但不限于公募基金、信托计划、资产管理计划等），优先股，及其他符合监管要求的权益类资产；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利率互换、收益互换、股指期货、国债期货、商品期货、期权等商品及金融衍生品类资产，以及包含上述投资范围的资产管理产品（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ascii="宋体" w:hAnsi="宋体" w:eastAsia="宋体"/>
          <w:sz w:val="24"/>
          <w:szCs w:val="24"/>
          <w:highlight w:val="none"/>
          <w:lang w:bidi="ar"/>
        </w:rPr>
      </w:pPr>
      <w:r>
        <w:rPr>
          <w:rFonts w:hint="eastAsia" w:ascii="宋体" w:hAnsi="宋体" w:eastAsia="宋体"/>
          <w:sz w:val="24"/>
          <w:szCs w:val="24"/>
          <w:highlight w:val="none"/>
          <w:lang w:bidi="ar"/>
        </w:rPr>
        <w:t>2.投资比例</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（1）本理财产品投资于债权类资产的比例不低于产品总资产的90%；</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（2）本理财产品投资于权益类、商品及金融衍生品类资产的比例合计不高于产品总资产的10%。</w:t>
      </w:r>
    </w:p>
    <w:p>
      <w:pPr>
        <w:spacing w:line="300" w:lineRule="auto"/>
        <w:ind w:firstLine="480" w:firstLineChars="200"/>
        <w:rPr>
          <w:rFonts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1"/>
          <w:numId w:val="0"/>
        </w:numPr>
        <w:spacing w:line="300" w:lineRule="auto"/>
        <w:ind w:firstLine="482" w:firstLineChars="200"/>
        <w:outlineLvl w:val="1"/>
        <w:rPr>
          <w:rFonts w:ascii="宋体" w:hAnsi="宋体" w:eastAsia="宋体"/>
          <w:b/>
          <w:bCs/>
          <w:sz w:val="24"/>
          <w:szCs w:val="24"/>
          <w:highlight w:val="none"/>
        </w:rPr>
      </w:pP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三）</w:t>
      </w:r>
      <w:r>
        <w:rPr>
          <w:rFonts w:hint="eastAsia" w:ascii="宋体" w:hAnsi="宋体" w:eastAsia="宋体"/>
          <w:b/>
          <w:bCs/>
          <w:sz w:val="24"/>
          <w:szCs w:val="24"/>
          <w:highlight w:val="none"/>
        </w:rPr>
        <w:t>投资策略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综合分析宏观经济走势、财政与货币政策、利率波动与趋势、利率期限结构、信用风险和利差变化等因素，在符合产品投资范围和投资比例的前提下，综合考虑各类投资品种的收益性、流动性和风险特征，追求获得较好的投资回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配置策略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选择投资于信用风险较为可控、收益相对较高的固定收益类资产，构建具有较优风险收益特征的投资组合。标准化债权资产的配置会在对市场利率波动与趋势做出预期分析的基础上，结合利率期限结构变化、信用利差变化等因素挑选较优的组合配置方案。</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2</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利率预期策略与组合久期管理</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对宏观经济走势的研究，结合对财政政策、货币政策等经济金融政策的分析对市场利率波动与趋势做出预期和判断，并在综合考虑组合流动性的前提下，调整组合的资产配置久期。在合理控制风险的前提下，通过利率趋势预测，力争增厚组合收益。</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3</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交易策略</w:t>
      </w:r>
    </w:p>
    <w:p>
      <w:pPr>
        <w:numPr>
          <w:ilvl w:val="255"/>
          <w:numId w:val="0"/>
        </w:numPr>
        <w:spacing w:line="300" w:lineRule="auto"/>
        <w:ind w:firstLine="480" w:firstLineChars="200"/>
        <w:jc w:val="left"/>
        <w:outlineLvl w:val="1"/>
        <w:rPr>
          <w:rFonts w:ascii="宋体" w:hAnsi="宋体" w:eastAsia="宋体"/>
          <w:sz w:val="24"/>
          <w:szCs w:val="24"/>
          <w:highlight w:val="none"/>
        </w:rPr>
      </w:pPr>
      <w:r>
        <w:rPr>
          <w:rFonts w:hint="eastAsia" w:ascii="宋体" w:hAnsi="宋体" w:eastAsia="宋体"/>
          <w:sz w:val="24"/>
          <w:szCs w:val="24"/>
          <w:highlight w:val="none"/>
        </w:rPr>
        <w:t>根据对市场利率波动与趋势的判断选取高流动性的金融工具(如国债、政策性金融债等)进行波段交易，高抛低吸以期获得交易性收益。交易策略将考虑投资品种的风险和收益特征，谨慎投资。</w:t>
      </w:r>
    </w:p>
    <w:p>
      <w:pPr>
        <w:spacing w:line="300" w:lineRule="auto"/>
        <w:ind w:firstLine="482" w:firstLineChars="200"/>
        <w:jc w:val="left"/>
        <w:outlineLvl w:val="1"/>
        <w:rPr>
          <w:rFonts w:ascii="宋体" w:hAnsi="宋体" w:eastAsia="宋体"/>
          <w:b/>
          <w:bCs/>
          <w:sz w:val="24"/>
          <w:szCs w:val="24"/>
          <w:highlight w:val="none"/>
        </w:rPr>
      </w:pPr>
      <w:r>
        <w:rPr>
          <w:rFonts w:hint="eastAsia" w:ascii="宋体" w:hAnsi="宋体" w:eastAsia="宋体"/>
          <w:b/>
          <w:bCs/>
          <w:sz w:val="24"/>
          <w:szCs w:val="24"/>
          <w:highlight w:val="none"/>
        </w:rPr>
        <w:t>（四）投资限制</w:t>
      </w:r>
    </w:p>
    <w:p>
      <w:pPr>
        <w:spacing w:line="300" w:lineRule="auto"/>
        <w:ind w:firstLine="480" w:firstLineChars="200"/>
        <w:jc w:val="left"/>
        <w:rPr>
          <w:rFonts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3.本理财产品投资不存在活跃交易市场，并且需要采用估值技术确定公允价值的资产比例可以达到本产品净资产50%以上。</w:t>
      </w:r>
    </w:p>
    <w:p>
      <w:pPr>
        <w:spacing w:line="300" w:lineRule="auto"/>
        <w:ind w:firstLine="480" w:firstLineChars="200"/>
        <w:jc w:val="left"/>
        <w:rPr>
          <w:rFonts w:ascii="宋体" w:hAnsi="宋体" w:eastAsia="宋体"/>
          <w:sz w:val="24"/>
          <w:szCs w:val="24"/>
          <w:highlight w:val="none"/>
        </w:rPr>
      </w:pPr>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val="en-US" w:eastAsia="zh-CN"/>
        </w:rPr>
        <w:t>2026年7月15日9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val="en-US" w:eastAsia="zh-CN"/>
        </w:rPr>
        <w:t>2026年7月22日17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2" w:firstLineChars="200"/>
        <w:outlineLvl w:val="1"/>
        <w:rPr>
          <w:rFonts w:hint="eastAsia" w:ascii="宋体" w:hAnsi="宋体" w:cs="宋体"/>
          <w:b/>
          <w:bCs/>
          <w:sz w:val="24"/>
          <w:highlight w:val="none"/>
        </w:rPr>
      </w:pPr>
      <w:r>
        <w:rPr>
          <w:rFonts w:hint="eastAsia" w:ascii="宋体" w:hAnsi="宋体" w:cs="宋体"/>
          <w:b/>
          <w:bCs/>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w:t>
      </w:r>
      <w:r>
        <w:rPr>
          <w:rFonts w:hint="eastAsia" w:ascii="宋体" w:hAnsi="宋体" w:eastAsia="宋体"/>
          <w:sz w:val="24"/>
          <w:szCs w:val="24"/>
          <w:highlight w:val="none"/>
        </w:rPr>
        <w:t>法律法规规定或产品管理人基于审慎考虑认定的其他情形。</w:t>
      </w:r>
    </w:p>
    <w:p>
      <w:pPr>
        <w:spacing w:line="300" w:lineRule="auto"/>
        <w:ind w:firstLine="480" w:firstLineChars="200"/>
        <w:jc w:val="left"/>
        <w:outlineLvl w:val="1"/>
        <w:rPr>
          <w:rFonts w:hint="eastAsia" w:ascii="宋体" w:hAnsi="宋体" w:cs="宋体"/>
          <w:b/>
          <w:bCs/>
          <w:sz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cs="宋体"/>
          <w:b/>
          <w:bCs/>
          <w:sz w:val="24"/>
          <w:highlight w:val="none"/>
        </w:rPr>
        <w:t>（</w:t>
      </w:r>
      <w:r>
        <w:rPr>
          <w:rFonts w:ascii="宋体" w:hAnsi="宋体" w:eastAsia="宋体"/>
          <w:b/>
          <w:bCs/>
          <w:sz w:val="24"/>
          <w:szCs w:val="24"/>
          <w:highlight w:val="none"/>
        </w:rPr>
        <w:t>四</w:t>
      </w:r>
      <w:r>
        <w:rPr>
          <w:rFonts w:hint="eastAsia" w:ascii="宋体" w:hAnsi="宋体" w:cs="宋体"/>
          <w:b/>
          <w:bCs/>
          <w:sz w:val="24"/>
          <w:highlight w:val="none"/>
        </w:rPr>
        <w:t>）</w:t>
      </w:r>
      <w:r>
        <w:rPr>
          <w:rFonts w:ascii="宋体" w:hAnsi="宋体" w:eastAsia="宋体"/>
          <w:b/>
          <w:bCs/>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outlineLvl w:val="9"/>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6"/>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rPr>
      </w:pPr>
      <w:r>
        <w:rPr>
          <w:rFonts w:hint="eastAsia" w:ascii="宋体" w:hAnsi="宋体" w:eastAsia="宋体"/>
          <w:sz w:val="24"/>
          <w:szCs w:val="24"/>
          <w:lang w:val="en-US" w:eastAsia="zh-CN"/>
        </w:rPr>
        <w:t>8</w:t>
      </w:r>
      <w:r>
        <w:rPr>
          <w:rFonts w:hint="eastAsia" w:ascii="宋体" w:hAnsi="宋体" w:eastAsia="宋体"/>
          <w:sz w:val="24"/>
          <w:szCs w:val="24"/>
        </w:rPr>
        <w:t>.理财产品投资的其他资产管理产品，如各类信托计划、资产管理计划等，以估值日资产管理产品管理人提供的最新份额净值或前一估值日后至估值日期间（含节假日）提供的万份收益进行估值；若资产管理产品管理人无法提供净值信息或有充足理由认为其提供的净值信息不能准确反映资产管理产品公允价值的，可采用理财产品管理人和托管人共同认可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7"/>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7"/>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hint="eastAsia" w:ascii="宋体" w:hAnsi="宋体" w:eastAsia="宋体"/>
          <w:b/>
          <w:bCs/>
          <w:sz w:val="24"/>
          <w:szCs w:val="24"/>
          <w:highlight w:val="none"/>
          <w:lang w:val="en-US" w:eastAsia="zh-CN"/>
        </w:rPr>
        <w:t>90</w:t>
      </w:r>
      <w:r>
        <w:rPr>
          <w:rFonts w:ascii="宋体" w:hAnsi="宋体" w:eastAsia="宋体"/>
          <w:b/>
          <w:bCs/>
          <w:sz w:val="24"/>
          <w:szCs w:val="24"/>
          <w:highlight w:val="none"/>
        </w:rPr>
        <w:t>%</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hint="eastAsia" w:ascii="宋体" w:hAnsi="宋体" w:eastAsia="宋体"/>
          <w:b/>
          <w:bCs/>
          <w:sz w:val="24"/>
          <w:szCs w:val="24"/>
          <w:highlight w:val="none"/>
          <w:lang w:val="en-US" w:eastAsia="zh-CN"/>
        </w:rPr>
        <w:t>90</w:t>
      </w:r>
      <w:r>
        <w:rPr>
          <w:rFonts w:ascii="宋体" w:hAnsi="宋体" w:eastAsia="宋体"/>
          <w:b/>
          <w:bCs/>
          <w:sz w:val="24"/>
          <w:szCs w:val="24"/>
          <w:highlight w:val="none"/>
        </w:rPr>
        <w:t>%</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w:t>
      </w:r>
      <w:r>
        <w:rPr>
          <w:rFonts w:hint="eastAsia" w:ascii="宋体" w:hAnsi="宋体" w:eastAsia="宋体"/>
          <w:sz w:val="24"/>
          <w:szCs w:val="24"/>
          <w:highlight w:val="none"/>
          <w:lang w:val="en-US" w:eastAsia="zh-CN"/>
        </w:rPr>
        <w:t>进行</w:t>
      </w:r>
      <w:r>
        <w:rPr>
          <w:rFonts w:ascii="宋体" w:hAnsi="宋体" w:eastAsia="宋体"/>
          <w:sz w:val="24"/>
          <w:szCs w:val="24"/>
          <w:highlight w:val="none"/>
        </w:rPr>
        <w:t>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r>
        <w:rPr>
          <w:rFonts w:ascii="宋体" w:hAnsi="宋体" w:eastAsia="宋体"/>
          <w:sz w:val="24"/>
          <w:szCs w:val="24"/>
          <w:highlight w:val="none"/>
        </w:rPr>
        <w:t>。</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10</w:t>
      </w:r>
      <w:r>
        <w:rPr>
          <w:rFonts w:hint="eastAsia" w:ascii="宋体" w:hAnsi="宋体" w:eastAsia="宋体"/>
          <w:sz w:val="24"/>
          <w:szCs w:val="24"/>
          <w:highlight w:val="none"/>
        </w:rPr>
        <w:t>.</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11</w:t>
      </w:r>
      <w:r>
        <w:rPr>
          <w:rFonts w:hint="eastAsia" w:ascii="宋体" w:hAnsi="宋体" w:eastAsia="宋体"/>
          <w:sz w:val="24"/>
          <w:szCs w:val="24"/>
          <w:highlight w:val="none"/>
        </w:rPr>
        <w:t>.</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中国银行股份有限公司</w:t>
      </w:r>
      <w:r>
        <w:rPr>
          <w:rFonts w:hint="eastAsia" w:ascii="宋体" w:hAnsi="宋体" w:eastAsia="宋体"/>
          <w:sz w:val="24"/>
          <w:szCs w:val="24"/>
          <w:highlight w:val="none"/>
        </w:rPr>
        <w:t>，地址为</w:t>
      </w:r>
      <w:r>
        <w:rPr>
          <w:rFonts w:hint="eastAsia" w:ascii="宋体" w:hAnsi="宋体" w:eastAsia="宋体"/>
          <w:sz w:val="24"/>
          <w:szCs w:val="24"/>
          <w:highlight w:val="none"/>
          <w:lang w:val="en-US" w:eastAsia="zh-CN"/>
        </w:rPr>
        <w:t>北京市西城区复兴门内大街1号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山西银行股份有限公司，住所：山西转型综合改革示范区学府产业园区高新街15号，客户服务热线：0351-96588。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内蒙古银行股份有限公司，住所：呼和浩特市赛罕区腾飞南路33号，客户服务热线：40005-96019。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福建海峡银行股份有限公司，住所：福建省福州市台江区江滨中大道358号海峡银行大厦，客户服务热线：4008939999。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天津农村商业银行股份有限公司，住所：天津市河西区友谊路32号，客户服务热线：022-96155。</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富滇银行股份有限公司，住所：云南省昆明市西山区西园路1912号，客户服务热线：0871-96533。</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温州银行股份有限公司，住所：浙江省温州市鹿城区会展路1316号，客户服务热线：0577-96699。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嘉兴银行股份有限公司，住所：浙江省嘉兴市昌盛南路1001号，客户服务热线：0573-96528。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日照银行股份有限公司，住所：山东省日照市烟台路197号，客户服务热线：400-68-96588。</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秦皇岛银行股份有限公司，住所：河北省秦皇岛市海港区河北大街西段560号，客户服务热线：0335-96336。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兴业银行股份有限公司，住所：福州市台江区江滨中大道398号兴业银行大厦，客户服务热线：95561。</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山西银行股份有限公司，住所：山西转型综合改革示范区学府产业园区高新街15号，客户服务热线：0351-96588。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盛京银行股份有限公司，住所：沈阳市沈河区北站路109号，客户服务热线：95337。</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吉林银行股份有限公司，住所：吉林省长春市南关区人民大街10666号，客户服务热线：4008896666。</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唐山银行股份有限公司，住所：河北省唐山市路南区建设南路19号唐山新世界中心，客户服务热线：0315-96368。</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厦门银行股份有限公司，住所：福建省厦门市思明区湖滨北路101号商业银行大厦，客户服务热线：4008588888。</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中信银行股份有限公司，住所：北京市朝阳区光华路10号院1号楼6-30层、32-42层，客户服务热线：95558。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盛京银行股份有限公司，住所：沈阳市沈河区北站路109号，客户服务热线：95337。</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苏州银行股份有限公司，住所：江苏省苏州工业园区钟园路728号，客户服务热线：96067。</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日照银行股份有限公司，住所：山东省日照市烟台路197号，客户服务热线：400-68-96588。</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ind w:firstLine="480" w:firstLineChars="200"/>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pStyle w:val="9"/>
        <w:widowControl/>
        <w:snapToGrid w:val="0"/>
        <w:spacing w:line="360" w:lineRule="auto"/>
        <w:rPr>
          <w:highlight w:val="none"/>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07B729"/>
    <w:multiLevelType w:val="singleLevel"/>
    <w:tmpl w:val="C507B729"/>
    <w:lvl w:ilvl="0" w:tentative="0">
      <w:start w:val="4"/>
      <w:numFmt w:val="decimal"/>
      <w:lvlText w:val="%1."/>
      <w:lvlJc w:val="left"/>
      <w:pPr>
        <w:tabs>
          <w:tab w:val="left" w:pos="312"/>
        </w:tabs>
      </w:pPr>
    </w:lvl>
  </w:abstractNum>
  <w:abstractNum w:abstractNumId="1">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2">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4">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5">
    <w:nsid w:val="57E61E1F"/>
    <w:multiLevelType w:val="singleLevel"/>
    <w:tmpl w:val="57E61E1F"/>
    <w:lvl w:ilvl="0" w:tentative="0">
      <w:start w:val="1"/>
      <w:numFmt w:val="chineseCounting"/>
      <w:suff w:val="nothing"/>
      <w:lvlText w:val="（%1）"/>
      <w:lvlJc w:val="left"/>
      <w:rPr>
        <w:rFonts w:hint="eastAsia"/>
      </w:rPr>
    </w:lvl>
  </w:abstractNum>
  <w:abstractNum w:abstractNumId="6">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1"/>
  </w:num>
  <w:num w:numId="2">
    <w:abstractNumId w:val="2"/>
  </w:num>
  <w:num w:numId="3">
    <w:abstractNumId w:val="3"/>
  </w:num>
  <w:num w:numId="4">
    <w:abstractNumId w:val="6"/>
  </w:num>
  <w:num w:numId="5">
    <w:abstractNumId w:val="4"/>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A24386"/>
    <w:rsid w:val="015C5ABD"/>
    <w:rsid w:val="5D323293"/>
    <w:rsid w:val="6C877222"/>
    <w:rsid w:val="73A243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风险揭示书页眉"/>
    <w:basedOn w:val="1"/>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styleId="8">
    <w:name w:val="List Paragraph"/>
    <w:basedOn w:val="1"/>
    <w:qFormat/>
    <w:uiPriority w:val="34"/>
    <w:pPr>
      <w:ind w:firstLine="420" w:firstLineChars="200"/>
    </w:pPr>
  </w:style>
  <w:style w:type="paragraph" w:customStyle="1" w:styleId="9">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2026-07-08T03:15:00Z</dcterms:created>
  <cp:lastModifiedBy>bylccpglb</cp:lastModifiedBy>
  <dcterms:modified xsi:type="dcterms:W3CDTF">2026-07-08T09:18:02Z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95C3FF65BF954C16A1D9BA89D0515C55</vt:lpwstr>
  </property>
</Properties>
</file>