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3" w:name="_GoBack"/>
      <w:bookmarkEnd w:id="3"/>
      <w:r>
        <w:rPr>
          <w:rFonts w:hint="eastAsia" w:ascii="华文仿宋" w:hAnsi="华文仿宋" w:eastAsia="华文仿宋" w:cs="华文仿宋"/>
          <w:b/>
          <w:bCs/>
          <w:sz w:val="32"/>
          <w:szCs w:val="32"/>
          <w:highlight w:val="none"/>
          <w:lang w:eastAsia="zh-CN"/>
        </w:rPr>
        <w:t>渤银理财财收有略系列固定收益类一年封闭式理财产品2026年179号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10"/>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10"/>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10"/>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10"/>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渤海银行股份有限公司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eastAsia="zh-CN"/>
        </w:rPr>
        <w:t>渤银理财财收有略系列固定收益类一年封闭式理财产品2026年179号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7"/>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eastAsia="zh-CN"/>
              </w:rPr>
              <w:t>渤银理财财收有略系列固定收益类一年封闭式理财产品2026年179号</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eastAsia="zh-CN"/>
              </w:rPr>
              <w:t>CSFB1Y26179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产品销售名称：（七月骄阳）渤银理财财收有略一年2026年179号</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产品</w:t>
            </w:r>
            <w:r>
              <w:rPr>
                <w:rFonts w:hint="eastAsia" w:ascii="宋体" w:hAnsi="宋体" w:eastAsia="宋体"/>
                <w:sz w:val="24"/>
                <w:szCs w:val="24"/>
                <w:highlight w:val="none"/>
              </w:rPr>
              <w:t>销售代码：</w:t>
            </w:r>
            <w:r>
              <w:rPr>
                <w:rFonts w:hint="eastAsia" w:ascii="宋体" w:hAnsi="宋体" w:eastAsia="宋体"/>
                <w:sz w:val="24"/>
                <w:szCs w:val="24"/>
                <w:highlight w:val="none"/>
                <w:lang w:eastAsia="zh-CN"/>
              </w:rPr>
              <w:t>CSFB1Y26179</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ascii="宋体" w:hAnsi="宋体" w:eastAsia="宋体"/>
                <w:sz w:val="24"/>
                <w:szCs w:val="24"/>
                <w:highlight w:val="none"/>
              </w:rPr>
            </w:pPr>
            <w:r>
              <w:rPr>
                <w:rFonts w:ascii="宋体" w:hAnsi="宋体" w:eastAsia="宋体" w:cs="宋体"/>
                <w:sz w:val="24"/>
                <w:szCs w:val="24"/>
              </w:rPr>
              <w:t>Z700842</w:t>
            </w:r>
            <w:r>
              <w:rPr>
                <w:rFonts w:hint="eastAsia" w:ascii="宋体" w:hAnsi="宋体" w:eastAsia="宋体" w:cs="宋体"/>
                <w:sz w:val="24"/>
                <w:szCs w:val="24"/>
                <w:lang w:val="en-US" w:eastAsia="zh-CN"/>
              </w:rPr>
              <w:t>6</w:t>
            </w:r>
            <w:r>
              <w:rPr>
                <w:rFonts w:ascii="宋体" w:hAnsi="宋体" w:eastAsia="宋体" w:cs="宋体"/>
                <w:sz w:val="24"/>
                <w:szCs w:val="24"/>
              </w:rPr>
              <w:t>000</w:t>
            </w:r>
            <w:r>
              <w:rPr>
                <w:rFonts w:hint="eastAsia" w:ascii="宋体" w:hAnsi="宋体" w:eastAsia="宋体" w:cs="宋体"/>
                <w:sz w:val="24"/>
                <w:szCs w:val="24"/>
                <w:lang w:val="en-US" w:eastAsia="zh-CN"/>
              </w:rPr>
              <w:t>631</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银行股份有限公司，以下简称“代销机构”</w:t>
            </w:r>
            <w:r>
              <w:rPr>
                <w:rFonts w:hint="eastAsia" w:ascii="宋体" w:hAnsi="宋体" w:eastAsia="宋体"/>
                <w:sz w:val="24"/>
                <w:szCs w:val="24"/>
                <w:highlight w:val="none"/>
                <w:lang w:val="en-US"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8</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lang w:eastAsia="zh-CN"/>
              </w:rPr>
              <w:t>】日</w:t>
            </w:r>
            <w:r>
              <w:rPr>
                <w:rFonts w:ascii="宋体" w:hAnsi="宋体" w:eastAsia="宋体"/>
                <w:sz w:val="24"/>
                <w:szCs w:val="24"/>
                <w:highlight w:val="none"/>
              </w:rPr>
              <w:t>【</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16</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16</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w:t>
            </w:r>
            <w:r>
              <w:rPr>
                <w:rFonts w:hint="eastAsia" w:ascii="宋体" w:hAnsi="宋体" w:eastAsia="宋体"/>
                <w:sz w:val="24"/>
                <w:szCs w:val="24"/>
                <w:highlight w:val="none"/>
              </w:rPr>
              <w:t>若有投资者购买了本产品且本产品不成立，本产品管理人最晚于产品计划成立日对产品不成立进行信息披露，在认购期结束后5个工作日内，投资者认购资金将由销售服务机构返还至投资者原认购账户。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2027</w:t>
            </w:r>
            <w:r>
              <w:rPr>
                <w:rFonts w:ascii="宋体" w:hAnsi="宋体" w:eastAsia="宋体"/>
                <w:sz w:val="24"/>
                <w:szCs w:val="24"/>
                <w:highlight w:val="none"/>
              </w:rPr>
              <w:t>】年【</w:t>
            </w:r>
            <w:r>
              <w:rPr>
                <w:rFonts w:hint="eastAsia" w:ascii="宋体" w:hAnsi="宋体" w:eastAsia="宋体"/>
                <w:sz w:val="24"/>
                <w:szCs w:val="24"/>
                <w:highlight w:val="none"/>
                <w:lang w:val="en-US" w:eastAsia="zh-CN"/>
              </w:rPr>
              <w:t>8</w:t>
            </w:r>
            <w:r>
              <w:rPr>
                <w:rFonts w:ascii="宋体" w:hAnsi="宋体" w:eastAsia="宋体"/>
                <w:sz w:val="24"/>
                <w:szCs w:val="24"/>
                <w:highlight w:val="none"/>
              </w:rPr>
              <w:t>】月【</w:t>
            </w:r>
            <w:r>
              <w:rPr>
                <w:rFonts w:hint="eastAsia" w:ascii="宋体" w:hAnsi="宋体" w:eastAsia="宋体"/>
                <w:sz w:val="24"/>
                <w:szCs w:val="24"/>
                <w:highlight w:val="none"/>
                <w:lang w:val="en-US" w:eastAsia="zh-CN"/>
              </w:rPr>
              <w:t>18</w:t>
            </w:r>
            <w:r>
              <w:rPr>
                <w:rFonts w:ascii="宋体" w:hAnsi="宋体" w:eastAsia="宋体"/>
                <w:sz w:val="24"/>
                <w:szCs w:val="24"/>
                <w:highlight w:val="none"/>
              </w:rPr>
              <w:t>】</w:t>
            </w:r>
            <w:r>
              <w:rPr>
                <w:rFonts w:hint="eastAsia" w:ascii="宋体" w:hAnsi="宋体" w:eastAsia="宋体"/>
                <w:sz w:val="24"/>
                <w:szCs w:val="24"/>
                <w:highlight w:val="none"/>
                <w:lang w:val="en-US"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398</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本理财产品业绩比较基准为：年化【</w:t>
            </w:r>
            <w:r>
              <w:rPr>
                <w:rFonts w:hint="eastAsia" w:ascii="宋体" w:hAnsi="宋体" w:eastAsia="宋体"/>
                <w:b/>
                <w:bCs/>
                <w:sz w:val="24"/>
                <w:szCs w:val="24"/>
                <w:highlight w:val="none"/>
                <w:lang w:eastAsia="zh-CN"/>
              </w:rPr>
              <w:t>2.40%-2.90%</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测算依据：本理财产品为固定收益类产品，以产品投资固定收益类资产仓位80%-100%，其中，非标准化债权类资产仓位0-49%，权益类、商品及金融衍生品类资产仓位合计0%-20%为例，根据当前市场环境下大类资产配置比例及大类资产收益情况，考虑杠杆和费率等因素，并结合产品投资策略进行测算，确定业绩比较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30" w:type="dxa"/>
            <w:vAlign w:val="center"/>
          </w:tcPr>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1.本理财产品</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超额业绩报酬</w:t>
            </w:r>
            <w:r>
              <w:rPr>
                <w:rFonts w:ascii="宋体" w:hAnsi="宋体" w:eastAsia="宋体"/>
                <w:b/>
                <w:bCs/>
                <w:sz w:val="24"/>
                <w:szCs w:val="24"/>
                <w:highlight w:val="none"/>
              </w:rPr>
              <w:t>,</w:t>
            </w:r>
            <w:r>
              <w:rPr>
                <w:rFonts w:hint="eastAsia" w:ascii="宋体" w:hAnsi="宋体" w:eastAsia="宋体"/>
                <w:b/>
                <w:bCs/>
                <w:sz w:val="24"/>
                <w:szCs w:val="24"/>
                <w:highlight w:val="none"/>
              </w:rPr>
              <w:t>超额业绩报酬计提基准为：年化【</w:t>
            </w:r>
            <w:r>
              <w:rPr>
                <w:rFonts w:hint="eastAsia" w:ascii="宋体" w:hAnsi="宋体" w:eastAsia="宋体"/>
                <w:b/>
                <w:bCs/>
                <w:sz w:val="24"/>
                <w:szCs w:val="24"/>
                <w:highlight w:val="none"/>
                <w:lang w:val="en-US" w:eastAsia="zh-CN"/>
              </w:rPr>
              <w:t>2.65</w:t>
            </w:r>
            <w:r>
              <w:rPr>
                <w:rFonts w:hint="eastAsia"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业绩报酬计提基准的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业绩报酬计提基准仅作为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管理人收取超额业绩报酬</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理财产品认购及存续期间，管理人有权根据市场情况的变化或投资配置方案的调整等原因，对超额业绩报酬计提基准进行调整，如有调整，具体以管理人公告为准。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2.销售服务费：【</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0.15</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0.02</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5.超额业绩报酬:</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管理人收取超额业绩报酬，不同类别份额的超额业绩报酬分别计算并计提。</w:t>
            </w:r>
          </w:p>
          <w:p>
            <w:pPr>
              <w:numPr>
                <w:ilvl w:val="255"/>
                <w:numId w:val="0"/>
              </w:numPr>
              <w:spacing w:line="300" w:lineRule="auto"/>
              <w:outlineLvl w:val="0"/>
              <w:rPr>
                <w:rFonts w:hint="eastAsia" w:ascii="宋体" w:hAnsi="宋体"/>
                <w:b/>
                <w:bCs/>
                <w:sz w:val="24"/>
                <w:szCs w:val="24"/>
                <w:highlight w:val="none"/>
              </w:rPr>
            </w:pPr>
            <w:r>
              <w:rPr>
                <w:rFonts w:hint="eastAsia" w:ascii="宋体" w:hAnsi="宋体" w:eastAsia="宋体"/>
                <w:b/>
                <w:bCs/>
                <w:sz w:val="24"/>
                <w:szCs w:val="24"/>
                <w:highlight w:val="none"/>
              </w:rPr>
              <w:t>在超额业绩报酬计提日，</w:t>
            </w:r>
            <w:r>
              <w:rPr>
                <w:rFonts w:hint="eastAsia" w:ascii="宋体" w:hAnsi="宋体" w:eastAsia="宋体"/>
                <w:b/>
                <w:bCs/>
                <w:sz w:val="24"/>
                <w:szCs w:val="24"/>
              </w:rPr>
              <w:t>若</w:t>
            </w:r>
            <w:r>
              <w:rPr>
                <w:rFonts w:hint="eastAsia" w:ascii="宋体" w:hAnsi="宋体" w:eastAsia="宋体"/>
                <w:b/>
                <w:bCs/>
                <w:sz w:val="24"/>
                <w:szCs w:val="24"/>
                <w:lang w:val="en-US" w:eastAsia="zh-CN"/>
              </w:rPr>
              <w:t>理财产品</w:t>
            </w:r>
            <w:r>
              <w:rPr>
                <w:rFonts w:hint="eastAsia" w:ascii="宋体" w:hAnsi="宋体" w:eastAsia="宋体"/>
                <w:b/>
                <w:bCs/>
                <w:sz w:val="24"/>
                <w:szCs w:val="24"/>
              </w:rPr>
              <w:t>份额净值折算的年化收益率超过超额业绩报酬计提基准，则产品管理人收取超过超额业绩报酬计提基准部分的</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50</w:t>
            </w:r>
            <w:r>
              <w:rPr>
                <w:rFonts w:hint="eastAsia" w:ascii="宋体" w:hAnsi="宋体" w:eastAsia="宋体"/>
                <w:b/>
                <w:bCs/>
                <w:sz w:val="24"/>
                <w:szCs w:val="24"/>
                <w:highlight w:val="none"/>
              </w:rPr>
              <w:t>%】</w:t>
            </w:r>
            <w:r>
              <w:rPr>
                <w:rFonts w:hint="eastAsia" w:ascii="宋体" w:hAnsi="宋体" w:eastAsia="宋体"/>
                <w:b/>
                <w:bCs/>
                <w:sz w:val="24"/>
                <w:szCs w:val="24"/>
              </w:rPr>
              <w:t>为超额业绩报酬。超额业绩报酬精确到小数点后2位，小数点2位以后四舍五入。</w:t>
            </w:r>
            <w:r>
              <w:rPr>
                <w:rFonts w:ascii="宋体" w:hAnsi="宋体" w:eastAsia="宋体"/>
                <w:b/>
                <w:bCs/>
                <w:sz w:val="24"/>
                <w:szCs w:val="24"/>
              </w:rPr>
              <w:t>产品管理人保留变更上述理财产品费率标准的权</w:t>
            </w:r>
            <w:r>
              <w:rPr>
                <w:rFonts w:hint="eastAsia" w:ascii="宋体" w:hAnsi="宋体" w:eastAsia="宋体"/>
                <w:b/>
                <w:bCs/>
                <w:sz w:val="24"/>
                <w:szCs w:val="24"/>
              </w:rPr>
              <w:t>利。</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6.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7.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ascii="宋体" w:hAnsi="宋体" w:eastAsia="宋体"/>
                <w:sz w:val="24"/>
                <w:szCs w:val="24"/>
                <w:highlight w:val="none"/>
              </w:rPr>
            </w:pPr>
            <w:r>
              <w:rPr>
                <w:rFonts w:hint="eastAsia" w:ascii="宋体" w:hAnsi="宋体" w:eastAsia="宋体"/>
                <w:b/>
                <w:bCs/>
                <w:sz w:val="24"/>
                <w:szCs w:val="24"/>
                <w:highlight w:val="none"/>
              </w:rPr>
              <w:t>3.理财产品实际终止日至资金到账日为终止清算期，清算期内产生的利息（如有）归投资者所有。</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本理财产品可直接或通过资产管理计划、信托计划及基金等资产管理产品间接投资于以下符合监管要求的金融资产和金融工具，包括但不限于：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可转换债券、可交换债券、非公开定向债务融资工具(PPN)、二级资本债、债券型基金、债券型基金中基金（FOF）、收益凭证、其他非标准化债权类资产，及其他符合监管要求的债权类资产</w:t>
      </w:r>
      <w:r>
        <w:rPr>
          <w:rFonts w:hint="eastAsia" w:ascii="宋体" w:hAnsi="宋体" w:eastAsia="宋体"/>
          <w:b w:val="0"/>
          <w:bCs w:val="0"/>
          <w:sz w:val="24"/>
          <w:szCs w:val="24"/>
          <w:highlight w:val="none"/>
          <w:lang w:eastAsia="zh-CN"/>
        </w:rPr>
        <w:t>（</w:t>
      </w:r>
      <w:r>
        <w:rPr>
          <w:rFonts w:hint="eastAsia" w:ascii="宋体" w:hAnsi="宋体" w:eastAsia="宋体"/>
          <w:b w:val="0"/>
          <w:bCs w:val="0"/>
          <w:sz w:val="24"/>
          <w:szCs w:val="24"/>
          <w:highlight w:val="none"/>
          <w:lang w:val="en-US" w:eastAsia="zh-CN"/>
        </w:rPr>
        <w:t>包括符合监管要求的各类QDII资产管理产品</w:t>
      </w:r>
      <w:r>
        <w:rPr>
          <w:rFonts w:hint="eastAsia" w:ascii="宋体" w:hAnsi="宋体" w:eastAsia="宋体"/>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境内的优先股、股票、股票型基金、混合型基金、QDII股票型基金、QDII混合型基金、股票型基金中基金（FOF）、混合型基金中基金（FOF）、公开募集基础设施证券投资基金（REITs）及其他符合监管要求的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（3）商品及衍生品类资产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商品型等另类投资基金、股指期货、国债期货、商品期货、利率互换、收益互换、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固定收益</w:t>
            </w:r>
            <w:r>
              <w:rPr>
                <w:rFonts w:hint="eastAsia" w:ascii="宋体" w:hAnsi="宋体" w:eastAsia="宋体"/>
                <w:sz w:val="24"/>
                <w:szCs w:val="24"/>
                <w:highlight w:val="none"/>
                <w:lang w:bidi="ar"/>
              </w:rPr>
              <w:t>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cstheme="minorBidi"/>
                <w:sz w:val="24"/>
                <w:szCs w:val="24"/>
                <w:highlight w:val="none"/>
                <w:vertAlign w:val="baseline"/>
                <w:lang w:val="en-US" w:eastAsia="zh-CN" w:bidi="ar"/>
              </w:rPr>
              <w:t>80%（含）-100%（含）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其中：非标准化债权类资产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cstheme="minorBidi"/>
                <w:sz w:val="24"/>
                <w:szCs w:val="24"/>
                <w:highlight w:val="none"/>
                <w:vertAlign w:val="baseline"/>
                <w:lang w:val="en-US" w:eastAsia="zh-CN" w:bidi="ar"/>
              </w:rPr>
              <w:t>0%-49%（含）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eastAsia="宋体"/>
                <w:highlight w:val="none"/>
                <w:lang w:val="en-US" w:eastAsia="zh-CN"/>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outlineLvl w:val="1"/>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通过综合分析宏观经济走势、财政与货币政策、利率波动与趋势、利率期限结构、信用风险和利差变化等因素，在符合产品投资范围和投资比例的前提下，综合考虑各类投资品种的收益性、流动性和风险特征，力争获得高于业绩比较基准的投资回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本理财产品以货币市场工具、债券等固定收益类资产配置为主，择机配置合意的非标准化债权类资产，灵活运用理财资金获取收益。</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久期配置策略：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根据货币政策和宏观审慎政策双支柱调控框架，结合市场投资者行为，央行预期管理等方面形成利率走势预判，在合理假设下的情景分析和压力测试后，确定最优的债券组合久期。</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信用类债券投资策略：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深度挖掘价值低估债券，在控制组合信用风险暴露的前提下，提升组合信用风险溢价。基于信用利差曲线变化和个券信用变化，筛选债券投资标的，动态调整投资组合内各行业、发行人的投资比例。</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息差策略：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当回购利率低于债券收益率时,本理财产品将在符合监管指标和理财产品投资特征的基础上，开展正回购并将融入的资金投资于信用债从而获取债券收益率超出回购资金成本的套利价值。</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非标准化债权类资产投资策略：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lang w:val="en-US" w:eastAsia="zh-CN"/>
        </w:rPr>
        <w:t>通过持有非标准化债权类资产至到期，在稳定产品净值的基础上获取相对高额的静态票面收入。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3.本理财产品投资于非标准化债权类资产的比例不高于本产品净资产的49%。</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bookmarkStart w:id="0" w:name="_Hlk134609573"/>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bookmarkEnd w:id="0"/>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8</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7"/>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6.法律法规规定或产品管理人基于审慎考虑认定的其他情形。</w:t>
      </w:r>
    </w:p>
    <w:p>
      <w:pPr>
        <w:spacing w:line="300" w:lineRule="auto"/>
        <w:ind w:firstLine="480" w:firstLineChars="200"/>
        <w:jc w:val="left"/>
        <w:outlineLvl w:val="1"/>
        <w:rPr>
          <w:rFonts w:hint="eastAsia" w:ascii="宋体" w:hAnsi="宋体" w:cs="宋体"/>
          <w:sz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如果投资者的认购申请被拒绝，被拒绝的认购款项将全额退还给投资者，扣款日至资金返还日期间是否计付利息，以销售服务机构的规定为准。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ascii="宋体" w:hAnsi="宋体" w:eastAsia="宋体"/>
          <w:sz w:val="24"/>
          <w:szCs w:val="24"/>
          <w:highlight w:val="none"/>
        </w:rPr>
        <w:t>四</w:t>
      </w:r>
      <w:r>
        <w:rPr>
          <w:rFonts w:hint="eastAsia" w:ascii="宋体" w:hAnsi="宋体" w:cs="宋体"/>
          <w:sz w:val="24"/>
          <w:highlight w:val="none"/>
        </w:rPr>
        <w:t>）</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rPr>
      </w:pPr>
      <w:r>
        <w:rPr>
          <w:rFonts w:hint="eastAsia" w:ascii="宋体" w:hAnsi="宋体" w:eastAsia="宋体"/>
          <w:sz w:val="24"/>
          <w:szCs w:val="24"/>
          <w:highlight w:val="none"/>
        </w:rPr>
        <w:t>若有投资者购买了本产品且本产品不成立，本产品管理人将不晚于产品计划成立日对产品不成立进行信息披露，在认购期结束后5个工作日内，投资者认购资金将由销售服务机构返还至投资者原认购账户。</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8"/>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val="en-US" w:eastAsia="zh-CN" w:bidi="ar"/>
        </w:rPr>
        <w:t>理财产品</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每个自然日计提的销售服务费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val="en-US" w:eastAsia="zh-CN" w:bidi="ar"/>
        </w:rPr>
        <w:t>理财产品</w:t>
      </w:r>
      <w:r>
        <w:rPr>
          <w:rFonts w:hint="eastAsia" w:ascii="宋体" w:hAnsi="宋体" w:eastAsia="宋体"/>
          <w:b/>
          <w:bCs/>
          <w:sz w:val="24"/>
          <w:szCs w:val="24"/>
          <w:highlight w:val="none"/>
        </w:rPr>
        <w:t>净资产×当前执行的销售服务费率÷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rPr>
      </w:pPr>
      <w:r>
        <w:rPr>
          <w:rFonts w:ascii="宋体" w:hAnsi="宋体" w:eastAsia="宋体"/>
          <w:b/>
          <w:bCs/>
          <w:sz w:val="24"/>
          <w:szCs w:val="24"/>
          <w:highlight w:val="none"/>
        </w:rPr>
        <w:t>6.</w:t>
      </w:r>
      <w:r>
        <w:rPr>
          <w:rFonts w:hint="eastAsia" w:ascii="宋体" w:hAnsi="宋体" w:eastAsia="宋体"/>
          <w:b/>
          <w:bCs/>
          <w:sz w:val="24"/>
          <w:szCs w:val="24"/>
          <w:highlight w:val="none"/>
        </w:rPr>
        <w:t>超额业绩报酬：管理人收取理财产品超额业绩报酬。</w:t>
      </w:r>
      <w:r>
        <w:rPr>
          <w:rFonts w:hint="eastAsia" w:ascii="宋体" w:hAnsi="宋体" w:eastAsia="宋体"/>
          <w:b/>
          <w:bCs/>
          <w:sz w:val="24"/>
          <w:szCs w:val="24"/>
        </w:rPr>
        <w:t>理财产品终止日或份额终止日的前一日为计提评价日，超额业绩报酬于计提评价日计提并于此后【</w:t>
      </w:r>
      <w:r>
        <w:rPr>
          <w:rFonts w:ascii="宋体" w:hAnsi="宋体" w:eastAsia="宋体"/>
          <w:b/>
          <w:bCs/>
          <w:sz w:val="24"/>
          <w:szCs w:val="24"/>
        </w:rPr>
        <w:t>10</w:t>
      </w:r>
      <w:r>
        <w:rPr>
          <w:rFonts w:hint="eastAsia" w:ascii="宋体" w:hAnsi="宋体" w:eastAsia="宋体"/>
          <w:b/>
          <w:bCs/>
          <w:sz w:val="24"/>
          <w:szCs w:val="24"/>
        </w:rPr>
        <w:t>】个工作日内支付</w:t>
      </w:r>
      <w:r>
        <w:rPr>
          <w:rFonts w:ascii="宋体" w:hAnsi="宋体" w:eastAsia="宋体"/>
          <w:b/>
          <w:bCs/>
          <w:sz w:val="24"/>
          <w:szCs w:val="24"/>
        </w:rPr>
        <w:t>,</w:t>
      </w:r>
      <w:r>
        <w:rPr>
          <w:rFonts w:hint="eastAsia" w:ascii="宋体" w:hAnsi="宋体" w:eastAsia="宋体"/>
          <w:b/>
          <w:bCs/>
          <w:sz w:val="24"/>
          <w:szCs w:val="24"/>
        </w:rPr>
        <w:t>超额业绩报酬精确到小数点后</w:t>
      </w:r>
      <w:r>
        <w:rPr>
          <w:rFonts w:ascii="宋体" w:hAnsi="宋体" w:eastAsia="宋体"/>
          <w:b/>
          <w:bCs/>
          <w:sz w:val="24"/>
          <w:szCs w:val="24"/>
        </w:rPr>
        <w:t>2</w:t>
      </w:r>
      <w:r>
        <w:rPr>
          <w:rFonts w:hint="eastAsia" w:ascii="宋体" w:hAnsi="宋体" w:eastAsia="宋体"/>
          <w:b/>
          <w:bCs/>
          <w:sz w:val="24"/>
          <w:szCs w:val="24"/>
        </w:rPr>
        <w:t>位，小数点</w:t>
      </w:r>
      <w:r>
        <w:rPr>
          <w:rFonts w:ascii="宋体" w:hAnsi="宋体" w:eastAsia="宋体"/>
          <w:b/>
          <w:bCs/>
          <w:sz w:val="24"/>
          <w:szCs w:val="24"/>
        </w:rPr>
        <w:t>2</w:t>
      </w:r>
      <w:r>
        <w:rPr>
          <w:rFonts w:hint="eastAsia" w:ascii="宋体" w:hAnsi="宋体" w:eastAsia="宋体"/>
          <w:b/>
          <w:bCs/>
          <w:sz w:val="24"/>
          <w:szCs w:val="24"/>
        </w:rPr>
        <w:t>位以后</w:t>
      </w:r>
      <w:r>
        <w:rPr>
          <w:rFonts w:hint="eastAsia" w:ascii="宋体" w:hAnsi="宋体" w:eastAsia="宋体"/>
          <w:b/>
          <w:bCs/>
          <w:sz w:val="24"/>
          <w:szCs w:val="24"/>
          <w:lang w:bidi="ar"/>
        </w:rPr>
        <w:t>四舍五入</w:t>
      </w:r>
      <w:r>
        <w:rPr>
          <w:rFonts w:hint="eastAsia" w:ascii="宋体" w:hAnsi="宋体" w:eastAsia="宋体"/>
          <w:b/>
          <w:bCs/>
          <w:sz w:val="24"/>
          <w:szCs w:val="24"/>
        </w:rPr>
        <w:t>。根据计算方式得到的超额业绩报酬大于</w:t>
      </w:r>
      <w:r>
        <w:rPr>
          <w:rFonts w:ascii="宋体" w:hAnsi="宋体" w:eastAsia="宋体"/>
          <w:b/>
          <w:bCs/>
          <w:sz w:val="24"/>
          <w:szCs w:val="24"/>
        </w:rPr>
        <w:t>0</w:t>
      </w:r>
      <w:r>
        <w:rPr>
          <w:rFonts w:hint="eastAsia" w:ascii="宋体" w:hAnsi="宋体" w:eastAsia="宋体"/>
          <w:b/>
          <w:bCs/>
          <w:sz w:val="24"/>
          <w:szCs w:val="24"/>
        </w:rPr>
        <w:t>时，方可计提超额业绩报酬。</w:t>
      </w:r>
    </w:p>
    <w:p>
      <w:pPr>
        <w:numPr>
          <w:ilvl w:val="255"/>
          <w:numId w:val="0"/>
        </w:numPr>
        <w:spacing w:line="300" w:lineRule="auto"/>
        <w:ind w:firstLine="482" w:firstLineChars="200"/>
        <w:rPr>
          <w:rFonts w:hint="eastAsia" w:ascii="宋体" w:hAnsi="宋体" w:eastAsia="宋体"/>
          <w:b/>
          <w:bCs/>
          <w:sz w:val="24"/>
          <w:szCs w:val="24"/>
        </w:rPr>
      </w:pPr>
      <w:r>
        <w:rPr>
          <w:rFonts w:hint="eastAsia" w:ascii="宋体" w:hAnsi="宋体" w:eastAsia="宋体"/>
          <w:b/>
          <w:bCs/>
          <w:sz w:val="24"/>
          <w:szCs w:val="24"/>
        </w:rPr>
        <w:t>超额业绩报酬的计算方式为：</w:t>
      </w:r>
    </w:p>
    <w:p>
      <w:pPr>
        <w:spacing w:line="300" w:lineRule="auto"/>
        <w:ind w:firstLine="482" w:firstLineChars="200"/>
        <w:rPr>
          <w:rFonts w:hint="eastAsia" w:ascii="宋体" w:hAnsi="宋体" w:eastAsia="宋体"/>
          <w:b/>
          <w:bCs/>
          <w:sz w:val="24"/>
          <w:szCs w:val="24"/>
        </w:rPr>
      </w:pPr>
      <w:r>
        <w:rPr>
          <w:rFonts w:hint="eastAsia" w:ascii="宋体" w:hAnsi="宋体" w:eastAsia="宋体"/>
          <w:b/>
          <w:bCs/>
          <w:sz w:val="24"/>
          <w:szCs w:val="24"/>
        </w:rPr>
        <w:t>年化的名义份额净值收益率超过超额业绩报酬计提基准时，计提超出部分的</w:t>
      </w:r>
      <w:r>
        <w:rPr>
          <w:rFonts w:hint="eastAsia" w:ascii="宋体" w:hAnsi="宋体" w:eastAsia="宋体"/>
          <w:b/>
          <w:bCs/>
          <w:sz w:val="24"/>
          <w:szCs w:val="24"/>
          <w:lang w:eastAsia="zh-CN"/>
        </w:rPr>
        <w:t>【</w:t>
      </w:r>
      <w:r>
        <w:rPr>
          <w:rFonts w:ascii="宋体" w:hAnsi="宋体" w:eastAsia="宋体"/>
          <w:b/>
          <w:bCs/>
          <w:sz w:val="24"/>
          <w:szCs w:val="24"/>
        </w:rPr>
        <w:t>50%</w:t>
      </w:r>
      <w:r>
        <w:rPr>
          <w:rFonts w:hint="eastAsia" w:ascii="宋体" w:hAnsi="宋体" w:eastAsia="宋体"/>
          <w:b/>
          <w:bCs/>
          <w:sz w:val="24"/>
          <w:szCs w:val="24"/>
          <w:lang w:eastAsia="zh-CN"/>
        </w:rPr>
        <w:t>】</w:t>
      </w:r>
      <w:r>
        <w:rPr>
          <w:rFonts w:hint="eastAsia" w:ascii="宋体" w:hAnsi="宋体" w:eastAsia="宋体"/>
          <w:b/>
          <w:bCs/>
          <w:sz w:val="24"/>
          <w:szCs w:val="24"/>
        </w:rPr>
        <w:t>作为超额业绩报酬。计算公式如下：</w:t>
      </w:r>
    </w:p>
    <w:p>
      <w:pPr>
        <w:spacing w:line="300" w:lineRule="auto"/>
        <w:ind w:firstLine="482" w:firstLineChars="200"/>
        <w:rPr>
          <w:rFonts w:hint="eastAsia" w:ascii="宋体" w:hAnsi="宋体" w:eastAsia="宋体"/>
          <w:b/>
          <w:bCs/>
          <w:sz w:val="24"/>
          <w:szCs w:val="24"/>
        </w:rPr>
      </w:pPr>
      <w:r>
        <w:rPr>
          <w:rFonts w:hint="eastAsia" w:ascii="宋体" w:hAnsi="宋体" w:eastAsia="宋体"/>
          <w:b/>
          <w:bCs/>
          <w:sz w:val="24"/>
          <w:szCs w:val="24"/>
        </w:rPr>
        <w:t>计提评价日应计提的超额业绩报酬</w:t>
      </w:r>
      <w:r>
        <w:rPr>
          <w:rFonts w:ascii="宋体" w:hAnsi="宋体" w:eastAsia="宋体"/>
          <w:b/>
          <w:bCs/>
          <w:sz w:val="24"/>
          <w:szCs w:val="24"/>
        </w:rPr>
        <w:t>=(</w:t>
      </w:r>
      <w:r>
        <w:rPr>
          <w:rFonts w:hint="eastAsia" w:ascii="宋体" w:hAnsi="宋体" w:eastAsia="宋体"/>
          <w:b/>
          <w:bCs/>
          <w:sz w:val="24"/>
          <w:szCs w:val="24"/>
        </w:rPr>
        <w:t>名义份额净值收益率</w:t>
      </w:r>
      <w:r>
        <w:rPr>
          <w:rFonts w:ascii="宋体" w:hAnsi="宋体" w:eastAsia="宋体"/>
          <w:b/>
          <w:bCs/>
          <w:sz w:val="24"/>
          <w:szCs w:val="24"/>
        </w:rPr>
        <w:t>-</w:t>
      </w:r>
      <w:r>
        <w:rPr>
          <w:rFonts w:hint="eastAsia" w:ascii="宋体" w:hAnsi="宋体" w:eastAsia="宋体"/>
          <w:b/>
          <w:bCs/>
          <w:sz w:val="24"/>
          <w:szCs w:val="24"/>
        </w:rPr>
        <w:t>超额业绩报酬计提基准×区间天数÷</w:t>
      </w:r>
      <w:r>
        <w:rPr>
          <w:rFonts w:ascii="宋体" w:hAnsi="宋体" w:eastAsia="宋体"/>
          <w:b/>
          <w:bCs/>
          <w:sz w:val="24"/>
          <w:szCs w:val="24"/>
        </w:rPr>
        <w:t>365</w:t>
      </w:r>
      <w:r>
        <w:rPr>
          <w:rFonts w:hint="eastAsia" w:ascii="宋体" w:hAnsi="宋体" w:eastAsia="宋体"/>
          <w:b/>
          <w:bCs/>
          <w:sz w:val="24"/>
          <w:szCs w:val="24"/>
        </w:rPr>
        <w:t>）×理财产品计提评价日的</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rPr>
        <w:t>总份额×</w:t>
      </w:r>
      <w:r>
        <w:rPr>
          <w:rFonts w:hint="eastAsia" w:ascii="宋体" w:hAnsi="宋体" w:eastAsia="宋体"/>
          <w:b/>
          <w:bCs/>
          <w:sz w:val="24"/>
          <w:szCs w:val="24"/>
          <w:lang w:eastAsia="zh-CN"/>
        </w:rPr>
        <w:t>【</w:t>
      </w:r>
      <w:r>
        <w:rPr>
          <w:rFonts w:ascii="宋体" w:hAnsi="宋体" w:eastAsia="宋体"/>
          <w:b/>
          <w:bCs/>
          <w:sz w:val="24"/>
          <w:szCs w:val="24"/>
        </w:rPr>
        <w:t>50%</w:t>
      </w:r>
      <w:r>
        <w:rPr>
          <w:rFonts w:hint="eastAsia" w:ascii="宋体" w:hAnsi="宋体" w:eastAsia="宋体"/>
          <w:b/>
          <w:bCs/>
          <w:sz w:val="24"/>
          <w:szCs w:val="24"/>
          <w:lang w:eastAsia="zh-CN"/>
        </w:rPr>
        <w:t>】</w:t>
      </w:r>
      <w:r>
        <w:rPr>
          <w:rFonts w:hint="eastAsia" w:ascii="宋体" w:hAnsi="宋体" w:eastAsia="宋体"/>
          <w:b/>
          <w:bCs/>
          <w:sz w:val="24"/>
          <w:szCs w:val="24"/>
        </w:rPr>
        <w:t>，其中，名义份额净值收益率</w:t>
      </w:r>
      <w:r>
        <w:rPr>
          <w:rFonts w:ascii="宋体" w:hAnsi="宋体" w:eastAsia="宋体"/>
          <w:b/>
          <w:bCs/>
          <w:sz w:val="24"/>
          <w:szCs w:val="24"/>
        </w:rPr>
        <w:t>=</w:t>
      </w:r>
      <w:r>
        <w:rPr>
          <w:rFonts w:hint="eastAsia" w:ascii="宋体" w:hAnsi="宋体" w:eastAsia="宋体"/>
          <w:b/>
          <w:bCs/>
          <w:sz w:val="24"/>
          <w:szCs w:val="24"/>
        </w:rPr>
        <w:t>（该计提评价日的理财产品累计份额净值</w:t>
      </w:r>
      <w:r>
        <w:rPr>
          <w:rFonts w:ascii="宋体" w:hAnsi="宋体" w:eastAsia="宋体"/>
          <w:b/>
          <w:bCs/>
          <w:sz w:val="24"/>
          <w:szCs w:val="24"/>
        </w:rPr>
        <w:t>-</w:t>
      </w:r>
      <w:r>
        <w:rPr>
          <w:rFonts w:hint="eastAsia" w:ascii="宋体" w:hAnsi="宋体" w:eastAsia="宋体"/>
          <w:b/>
          <w:bCs/>
          <w:sz w:val="24"/>
          <w:szCs w:val="24"/>
        </w:rPr>
        <w:t>产品单位份额发行价格）÷产品单位份额发行价格。区间天数是指理财产品成立日（含），截止到计提评价日当天（含）的实际天数。理财产品累计份额净值</w:t>
      </w:r>
      <w:r>
        <w:rPr>
          <w:rFonts w:ascii="宋体" w:hAnsi="宋体" w:eastAsia="宋体"/>
          <w:b/>
          <w:bCs/>
          <w:sz w:val="24"/>
          <w:szCs w:val="24"/>
        </w:rPr>
        <w:t>=</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rPr>
        <w:t>资产净值</w:t>
      </w:r>
      <w:r>
        <w:rPr>
          <w:rFonts w:ascii="宋体" w:hAnsi="宋体" w:eastAsia="宋体"/>
          <w:b/>
          <w:bCs/>
          <w:sz w:val="24"/>
          <w:szCs w:val="24"/>
        </w:rPr>
        <w:t>/</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rPr>
        <w:t>总份额</w:t>
      </w:r>
      <w:r>
        <w:rPr>
          <w:rFonts w:ascii="宋体" w:hAnsi="宋体" w:eastAsia="宋体"/>
          <w:b/>
          <w:bCs/>
          <w:sz w:val="24"/>
          <w:szCs w:val="24"/>
        </w:rPr>
        <w:t>+</w:t>
      </w:r>
      <w:r>
        <w:rPr>
          <w:rFonts w:hint="eastAsia" w:ascii="宋体" w:hAnsi="宋体" w:eastAsia="宋体"/>
          <w:b/>
          <w:bCs/>
          <w:sz w:val="24"/>
          <w:szCs w:val="24"/>
        </w:rPr>
        <w:t>产品成立以来</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rPr>
        <w:t>累计单位分红金额。</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rPr>
        <w:t>累计份额净值四舍五入保留</w:t>
      </w:r>
      <w:r>
        <w:rPr>
          <w:rFonts w:ascii="宋体" w:hAnsi="宋体" w:eastAsia="宋体"/>
          <w:b/>
          <w:bCs/>
          <w:sz w:val="24"/>
          <w:szCs w:val="24"/>
        </w:rPr>
        <w:t>6</w:t>
      </w:r>
      <w:r>
        <w:rPr>
          <w:rFonts w:hint="eastAsia" w:ascii="宋体" w:hAnsi="宋体" w:eastAsia="宋体"/>
          <w:b/>
          <w:bCs/>
          <w:sz w:val="24"/>
          <w:szCs w:val="24"/>
        </w:rPr>
        <w:t>位小数。</w:t>
      </w:r>
    </w:p>
    <w:p>
      <w:pPr>
        <w:spacing w:line="300" w:lineRule="auto"/>
        <w:ind w:firstLine="482" w:firstLineChars="200"/>
        <w:rPr>
          <w:rFonts w:hint="eastAsia" w:ascii="宋体" w:hAnsi="宋体" w:eastAsia="宋体"/>
          <w:b/>
          <w:bCs/>
          <w:sz w:val="24"/>
          <w:szCs w:val="24"/>
        </w:rPr>
      </w:pPr>
      <w:r>
        <w:rPr>
          <w:rFonts w:hint="eastAsia" w:ascii="宋体" w:hAnsi="宋体" w:eastAsia="宋体"/>
          <w:b/>
          <w:bCs/>
          <w:sz w:val="24"/>
          <w:szCs w:val="24"/>
        </w:rPr>
        <w:t>产品管理人将产品存续期内每个自然日视作计提评价日，并按照产品说明书约定的超额业绩报酬计算方法暂估计提，用于产品估值核算，投资者需知悉，管理人对外披露的净值为暂估计提超额业绩报酬后的结果，但仅以本理财产品终止日或份额终止日的前一日确认计提的超额业绩报酬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1"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1"/>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2.如产品正常到期或提前终止，理财资金于到期日（实际到期日或提前终止日）后【</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】个工作日内根据实际情况进行分配，如遇非工作日则顺延至下一工作日。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=到期日产品可分配的总金额/产品总份额*投资者</w:t>
      </w:r>
      <w:r>
        <w:rPr>
          <w:rFonts w:hint="eastAsia" w:ascii="宋体" w:hAnsi="宋体" w:eastAsia="宋体"/>
          <w:sz w:val="24"/>
          <w:szCs w:val="24"/>
          <w:highlight w:val="none"/>
        </w:rPr>
        <w:t>持有的份额数。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lang w:eastAsia="zh-CN"/>
        </w:rPr>
      </w:pPr>
      <w:r>
        <w:rPr>
          <w:rFonts w:hint="eastAsia" w:ascii="宋体" w:hAnsi="宋体" w:eastAsia="宋体"/>
          <w:sz w:val="24"/>
          <w:szCs w:val="24"/>
          <w:highlight w:val="none"/>
        </w:rPr>
        <w:t>（8）所投资资产部分或全部提前偿付</w:t>
      </w:r>
      <w:r>
        <w:rPr>
          <w:rFonts w:hint="eastAsia" w:ascii="宋体" w:hAnsi="宋体" w:eastAsia="宋体"/>
          <w:sz w:val="24"/>
          <w:szCs w:val="24"/>
          <w:highlight w:val="none"/>
          <w:lang w:eastAsia="zh-CN"/>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4.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7.</w:t>
      </w:r>
      <w:r>
        <w:rPr>
          <w:rFonts w:ascii="宋体" w:hAnsi="宋体" w:eastAsia="宋体"/>
          <w:b/>
          <w:bCs/>
          <w:sz w:val="24"/>
          <w:szCs w:val="24"/>
          <w:highlight w:val="none"/>
        </w:rPr>
        <w:t>管理人有权决定非标准化债权</w:t>
      </w:r>
      <w:r>
        <w:rPr>
          <w:rFonts w:hint="eastAsia" w:ascii="宋体" w:hAnsi="宋体" w:eastAsia="宋体"/>
          <w:b/>
          <w:bCs/>
          <w:sz w:val="24"/>
          <w:szCs w:val="24"/>
          <w:highlight w:val="none"/>
        </w:rPr>
        <w:t>类</w:t>
      </w:r>
      <w:r>
        <w:rPr>
          <w:rFonts w:ascii="宋体" w:hAnsi="宋体" w:eastAsia="宋体"/>
          <w:b/>
          <w:bCs/>
          <w:sz w:val="24"/>
          <w:szCs w:val="24"/>
          <w:highlight w:val="none"/>
        </w:rPr>
        <w:t>资产投资的管理、合同条款变更、赎回、处</w:t>
      </w:r>
      <w:r>
        <w:rPr>
          <w:rFonts w:hint="eastAsia" w:ascii="宋体" w:hAnsi="宋体" w:eastAsia="宋体"/>
          <w:b/>
          <w:bCs/>
          <w:sz w:val="24"/>
          <w:szCs w:val="24"/>
          <w:highlight w:val="none"/>
        </w:rPr>
        <w:t>置与披露事宜，并有权指令信托受托人（如有）按管理人指令执行，包括但不限于：有权决定非标准化债权类资产及其底层资产投放的先决条件是否放弃或延后、有权决定非标准化债权投资的相关罚息的降低或免除、有权决定是否同意非标准化债权类资产的债务人提前还款（含全部及部分）或展期及展期条件、有权决定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2.</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，地址天津市海河东路</w:t>
      </w:r>
      <w:r>
        <w:rPr>
          <w:rFonts w:ascii="宋体" w:hAnsi="宋体" w:eastAsia="宋体"/>
          <w:sz w:val="24"/>
          <w:szCs w:val="24"/>
          <w:highlight w:val="none"/>
        </w:rPr>
        <w:t>218号渤海银行大厦，</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2" w:name="_Hlk136876402"/>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银行股份有限公司，住所</w:t>
      </w:r>
      <w:r>
        <w:rPr>
          <w:rFonts w:hint="eastAsia" w:ascii="宋体" w:hAnsi="宋体" w:eastAsia="宋体"/>
          <w:sz w:val="24"/>
          <w:szCs w:val="24"/>
          <w:highlight w:val="none"/>
          <w:lang w:eastAsia="zh-CN"/>
        </w:rPr>
        <w:t>：</w:t>
      </w:r>
      <w:r>
        <w:rPr>
          <w:rFonts w:hint="eastAsia" w:ascii="宋体" w:hAnsi="宋体" w:eastAsia="宋体"/>
          <w:sz w:val="24"/>
          <w:szCs w:val="24"/>
          <w:highlight w:val="none"/>
        </w:rPr>
        <w:t>天津市海河东路</w:t>
      </w:r>
      <w:r>
        <w:rPr>
          <w:rFonts w:ascii="宋体" w:hAnsi="宋体" w:eastAsia="宋体"/>
          <w:sz w:val="24"/>
          <w:szCs w:val="24"/>
          <w:highlight w:val="none"/>
        </w:rPr>
        <w:t>218号渤海银行大厦，客户服务热线</w:t>
      </w:r>
      <w:r>
        <w:rPr>
          <w:rFonts w:hint="eastAsia" w:ascii="宋体" w:hAnsi="宋体" w:eastAsia="宋体"/>
          <w:sz w:val="24"/>
          <w:szCs w:val="24"/>
          <w:highlight w:val="none"/>
          <w:lang w:eastAsia="zh-CN"/>
        </w:rPr>
        <w:t>：</w:t>
      </w:r>
      <w:r>
        <w:rPr>
          <w:rFonts w:ascii="宋体" w:hAnsi="宋体" w:eastAsia="宋体"/>
          <w:sz w:val="24"/>
          <w:szCs w:val="24"/>
          <w:highlight w:val="none"/>
        </w:rPr>
        <w:t>9</w:t>
      </w:r>
      <w:r>
        <w:rPr>
          <w:rFonts w:hint="eastAsia" w:ascii="宋体" w:hAnsi="宋体" w:eastAsia="宋体"/>
          <w:sz w:val="24"/>
          <w:szCs w:val="24"/>
          <w:highlight w:val="none"/>
          <w:lang w:val="en-US" w:eastAsia="zh-CN"/>
        </w:rPr>
        <w:t>55</w:t>
      </w:r>
      <w:r>
        <w:rPr>
          <w:rFonts w:ascii="宋体" w:hAnsi="宋体" w:eastAsia="宋体"/>
          <w:sz w:val="24"/>
          <w:szCs w:val="24"/>
          <w:highlight w:val="none"/>
        </w:rPr>
        <w:t>41</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2"/>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BCC1E8BF"/>
    <w:multiLevelType w:val="singleLevel"/>
    <w:tmpl w:val="BCC1E8BF"/>
    <w:lvl w:ilvl="0" w:tentative="0">
      <w:start w:val="1"/>
      <w:numFmt w:val="decimal"/>
      <w:lvlText w:val="%1."/>
      <w:lvlJc w:val="left"/>
      <w:pPr>
        <w:tabs>
          <w:tab w:val="left" w:pos="312"/>
        </w:tabs>
      </w:pPr>
    </w:lvl>
  </w:abstractNum>
  <w:abstractNum w:abstractNumId="2">
    <w:nsid w:val="C507B729"/>
    <w:multiLevelType w:val="singleLevel"/>
    <w:tmpl w:val="C507B729"/>
    <w:lvl w:ilvl="0" w:tentative="0">
      <w:start w:val="4"/>
      <w:numFmt w:val="decimal"/>
      <w:lvlText w:val="%1."/>
      <w:lvlJc w:val="left"/>
      <w:pPr>
        <w:tabs>
          <w:tab w:val="left" w:pos="312"/>
        </w:tabs>
      </w:pPr>
    </w:lvl>
  </w:abstractNum>
  <w:abstractNum w:abstractNumId="3">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5">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6">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7">
    <w:nsid w:val="57E61E1F"/>
    <w:multiLevelType w:val="singleLevel"/>
    <w:tmpl w:val="57E61E1F"/>
    <w:lvl w:ilvl="0" w:tentative="0">
      <w:start w:val="1"/>
      <w:numFmt w:val="chineseCounting"/>
      <w:suff w:val="nothing"/>
      <w:lvlText w:val="（%1）"/>
      <w:lvlJc w:val="left"/>
      <w:rPr>
        <w:rFonts w:hint="eastAsia"/>
      </w:rPr>
    </w:lvl>
  </w:abstractNum>
  <w:abstractNum w:abstractNumId="8">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3"/>
  </w:num>
  <w:num w:numId="2">
    <w:abstractNumId w:val="4"/>
  </w:num>
  <w:num w:numId="3">
    <w:abstractNumId w:val="5"/>
  </w:num>
  <w:num w:numId="4">
    <w:abstractNumId w:val="8"/>
  </w:num>
  <w:num w:numId="5">
    <w:abstractNumId w:val="6"/>
  </w:num>
  <w:num w:numId="6">
    <w:abstractNumId w:val="0"/>
  </w:num>
  <w:num w:numId="7">
    <w:abstractNumId w:val="1"/>
  </w:num>
  <w:num w:numId="8">
    <w:abstractNumId w:val="7"/>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mFiODI4OTlkNWI3ZGMyMTI4M2FjZjI0ZjQ4ZWY2ZjcifQ=="/>
  </w:docVars>
  <w:rsids>
    <w:rsidRoot w:val="68371EB1"/>
    <w:rsid w:val="000035A3"/>
    <w:rsid w:val="00004B79"/>
    <w:rsid w:val="00006524"/>
    <w:rsid w:val="0001112B"/>
    <w:rsid w:val="00024CA9"/>
    <w:rsid w:val="00032C9C"/>
    <w:rsid w:val="00036E72"/>
    <w:rsid w:val="000506F9"/>
    <w:rsid w:val="00051841"/>
    <w:rsid w:val="00061613"/>
    <w:rsid w:val="000645E4"/>
    <w:rsid w:val="00097A18"/>
    <w:rsid w:val="000A4541"/>
    <w:rsid w:val="000A69DE"/>
    <w:rsid w:val="000B4D75"/>
    <w:rsid w:val="000B6D24"/>
    <w:rsid w:val="000B7618"/>
    <w:rsid w:val="000C0E42"/>
    <w:rsid w:val="000D10C8"/>
    <w:rsid w:val="000D12E4"/>
    <w:rsid w:val="000D6B3E"/>
    <w:rsid w:val="000E074E"/>
    <w:rsid w:val="000E5C50"/>
    <w:rsid w:val="000E7773"/>
    <w:rsid w:val="000F0D96"/>
    <w:rsid w:val="000F6272"/>
    <w:rsid w:val="00103833"/>
    <w:rsid w:val="00110210"/>
    <w:rsid w:val="00124E2B"/>
    <w:rsid w:val="0012707B"/>
    <w:rsid w:val="001421F8"/>
    <w:rsid w:val="00147E19"/>
    <w:rsid w:val="00150844"/>
    <w:rsid w:val="0016025F"/>
    <w:rsid w:val="00163B7B"/>
    <w:rsid w:val="00163C19"/>
    <w:rsid w:val="00167828"/>
    <w:rsid w:val="001807C3"/>
    <w:rsid w:val="00195677"/>
    <w:rsid w:val="001959AE"/>
    <w:rsid w:val="001A06FF"/>
    <w:rsid w:val="001A3EF5"/>
    <w:rsid w:val="001B21E7"/>
    <w:rsid w:val="001E028A"/>
    <w:rsid w:val="001E1AF9"/>
    <w:rsid w:val="0021517C"/>
    <w:rsid w:val="002154F6"/>
    <w:rsid w:val="00222AB8"/>
    <w:rsid w:val="00224686"/>
    <w:rsid w:val="002321DC"/>
    <w:rsid w:val="00232691"/>
    <w:rsid w:val="00234FEC"/>
    <w:rsid w:val="002625B5"/>
    <w:rsid w:val="00272F8D"/>
    <w:rsid w:val="00273D11"/>
    <w:rsid w:val="00285E2C"/>
    <w:rsid w:val="00286579"/>
    <w:rsid w:val="00291101"/>
    <w:rsid w:val="00293FC9"/>
    <w:rsid w:val="002A270F"/>
    <w:rsid w:val="002A2B42"/>
    <w:rsid w:val="002A42EF"/>
    <w:rsid w:val="002A4A21"/>
    <w:rsid w:val="002C758A"/>
    <w:rsid w:val="002D194A"/>
    <w:rsid w:val="002D3523"/>
    <w:rsid w:val="002E0872"/>
    <w:rsid w:val="002F5161"/>
    <w:rsid w:val="00304EF1"/>
    <w:rsid w:val="00306602"/>
    <w:rsid w:val="003071D4"/>
    <w:rsid w:val="00315230"/>
    <w:rsid w:val="00323E61"/>
    <w:rsid w:val="00337006"/>
    <w:rsid w:val="00337791"/>
    <w:rsid w:val="00345243"/>
    <w:rsid w:val="0034529F"/>
    <w:rsid w:val="0035184A"/>
    <w:rsid w:val="00352E7B"/>
    <w:rsid w:val="0036535A"/>
    <w:rsid w:val="00377CFA"/>
    <w:rsid w:val="003847C6"/>
    <w:rsid w:val="00393821"/>
    <w:rsid w:val="003A3EF0"/>
    <w:rsid w:val="003A6976"/>
    <w:rsid w:val="003C0613"/>
    <w:rsid w:val="003C0CD7"/>
    <w:rsid w:val="003C437F"/>
    <w:rsid w:val="003D4B45"/>
    <w:rsid w:val="003D61BA"/>
    <w:rsid w:val="003E00C3"/>
    <w:rsid w:val="003E6814"/>
    <w:rsid w:val="00401A62"/>
    <w:rsid w:val="00407D60"/>
    <w:rsid w:val="00415C7E"/>
    <w:rsid w:val="00423C7C"/>
    <w:rsid w:val="00426D8C"/>
    <w:rsid w:val="00432667"/>
    <w:rsid w:val="0044767E"/>
    <w:rsid w:val="0045625D"/>
    <w:rsid w:val="00456973"/>
    <w:rsid w:val="00463847"/>
    <w:rsid w:val="00465DCE"/>
    <w:rsid w:val="00475B90"/>
    <w:rsid w:val="00482C80"/>
    <w:rsid w:val="0048516D"/>
    <w:rsid w:val="0048653D"/>
    <w:rsid w:val="00490A73"/>
    <w:rsid w:val="004948FE"/>
    <w:rsid w:val="004A1854"/>
    <w:rsid w:val="004A236F"/>
    <w:rsid w:val="004A24DE"/>
    <w:rsid w:val="004A3A55"/>
    <w:rsid w:val="004C6CAC"/>
    <w:rsid w:val="004D1068"/>
    <w:rsid w:val="004D2899"/>
    <w:rsid w:val="004E4592"/>
    <w:rsid w:val="004F07A5"/>
    <w:rsid w:val="004F52C7"/>
    <w:rsid w:val="004F5F9D"/>
    <w:rsid w:val="00502807"/>
    <w:rsid w:val="00502E84"/>
    <w:rsid w:val="00514F8A"/>
    <w:rsid w:val="005153AB"/>
    <w:rsid w:val="00515C52"/>
    <w:rsid w:val="00530734"/>
    <w:rsid w:val="00530B5B"/>
    <w:rsid w:val="0053234A"/>
    <w:rsid w:val="005335D7"/>
    <w:rsid w:val="00534088"/>
    <w:rsid w:val="00542C95"/>
    <w:rsid w:val="0055047D"/>
    <w:rsid w:val="00567A24"/>
    <w:rsid w:val="00574352"/>
    <w:rsid w:val="00582F7A"/>
    <w:rsid w:val="00595056"/>
    <w:rsid w:val="00597626"/>
    <w:rsid w:val="005A1ABF"/>
    <w:rsid w:val="005A4FBD"/>
    <w:rsid w:val="005B2754"/>
    <w:rsid w:val="005C1438"/>
    <w:rsid w:val="005C518A"/>
    <w:rsid w:val="005D793C"/>
    <w:rsid w:val="005E089E"/>
    <w:rsid w:val="005E6937"/>
    <w:rsid w:val="005F42D8"/>
    <w:rsid w:val="00602943"/>
    <w:rsid w:val="006033A7"/>
    <w:rsid w:val="00605862"/>
    <w:rsid w:val="00611923"/>
    <w:rsid w:val="00625BDB"/>
    <w:rsid w:val="00627B3B"/>
    <w:rsid w:val="006376F3"/>
    <w:rsid w:val="00637DE4"/>
    <w:rsid w:val="006428F4"/>
    <w:rsid w:val="00657B03"/>
    <w:rsid w:val="006657E6"/>
    <w:rsid w:val="00672892"/>
    <w:rsid w:val="006747AF"/>
    <w:rsid w:val="00675769"/>
    <w:rsid w:val="006760F2"/>
    <w:rsid w:val="006819D7"/>
    <w:rsid w:val="00683B72"/>
    <w:rsid w:val="0068684B"/>
    <w:rsid w:val="006A143E"/>
    <w:rsid w:val="006A20BE"/>
    <w:rsid w:val="006A4900"/>
    <w:rsid w:val="006A6582"/>
    <w:rsid w:val="006B4097"/>
    <w:rsid w:val="006B6209"/>
    <w:rsid w:val="006C777F"/>
    <w:rsid w:val="006D4EEF"/>
    <w:rsid w:val="006E107C"/>
    <w:rsid w:val="006E74C4"/>
    <w:rsid w:val="006F47C1"/>
    <w:rsid w:val="006F60A6"/>
    <w:rsid w:val="0070138F"/>
    <w:rsid w:val="00702580"/>
    <w:rsid w:val="00724287"/>
    <w:rsid w:val="00743FA5"/>
    <w:rsid w:val="00744E2D"/>
    <w:rsid w:val="00745F02"/>
    <w:rsid w:val="007472A6"/>
    <w:rsid w:val="00751344"/>
    <w:rsid w:val="007519CB"/>
    <w:rsid w:val="00752553"/>
    <w:rsid w:val="007551B2"/>
    <w:rsid w:val="007559D4"/>
    <w:rsid w:val="00761C97"/>
    <w:rsid w:val="00770105"/>
    <w:rsid w:val="00786181"/>
    <w:rsid w:val="007A3AE2"/>
    <w:rsid w:val="007B0FDF"/>
    <w:rsid w:val="007B2E50"/>
    <w:rsid w:val="007B5637"/>
    <w:rsid w:val="007C38D0"/>
    <w:rsid w:val="007E691C"/>
    <w:rsid w:val="007F356D"/>
    <w:rsid w:val="008005D6"/>
    <w:rsid w:val="00801041"/>
    <w:rsid w:val="00802662"/>
    <w:rsid w:val="00806874"/>
    <w:rsid w:val="00807800"/>
    <w:rsid w:val="00810912"/>
    <w:rsid w:val="00811E62"/>
    <w:rsid w:val="00822719"/>
    <w:rsid w:val="00826B53"/>
    <w:rsid w:val="00830BF6"/>
    <w:rsid w:val="00842102"/>
    <w:rsid w:val="008502EC"/>
    <w:rsid w:val="008519ED"/>
    <w:rsid w:val="008616C8"/>
    <w:rsid w:val="00863D8A"/>
    <w:rsid w:val="008739B2"/>
    <w:rsid w:val="00876684"/>
    <w:rsid w:val="00880443"/>
    <w:rsid w:val="00887F98"/>
    <w:rsid w:val="0089136D"/>
    <w:rsid w:val="00895667"/>
    <w:rsid w:val="008A0DDF"/>
    <w:rsid w:val="008B40A4"/>
    <w:rsid w:val="008C69FC"/>
    <w:rsid w:val="008D293D"/>
    <w:rsid w:val="008D43C5"/>
    <w:rsid w:val="008D54DA"/>
    <w:rsid w:val="008E45B9"/>
    <w:rsid w:val="008F0B03"/>
    <w:rsid w:val="00910843"/>
    <w:rsid w:val="0092237C"/>
    <w:rsid w:val="00923045"/>
    <w:rsid w:val="00932B8D"/>
    <w:rsid w:val="00936CA0"/>
    <w:rsid w:val="009374FA"/>
    <w:rsid w:val="00937CB2"/>
    <w:rsid w:val="0094046E"/>
    <w:rsid w:val="00942924"/>
    <w:rsid w:val="009455A2"/>
    <w:rsid w:val="00954DD2"/>
    <w:rsid w:val="00955BA9"/>
    <w:rsid w:val="00957DD5"/>
    <w:rsid w:val="009617AB"/>
    <w:rsid w:val="0097436A"/>
    <w:rsid w:val="0097731B"/>
    <w:rsid w:val="009841CB"/>
    <w:rsid w:val="00993214"/>
    <w:rsid w:val="0099625C"/>
    <w:rsid w:val="009A0609"/>
    <w:rsid w:val="009A78C9"/>
    <w:rsid w:val="009D6D2F"/>
    <w:rsid w:val="009E5A61"/>
    <w:rsid w:val="00A00099"/>
    <w:rsid w:val="00A1581A"/>
    <w:rsid w:val="00A30EE7"/>
    <w:rsid w:val="00A421B5"/>
    <w:rsid w:val="00A61C4A"/>
    <w:rsid w:val="00A836EC"/>
    <w:rsid w:val="00A84465"/>
    <w:rsid w:val="00A845A7"/>
    <w:rsid w:val="00A902BA"/>
    <w:rsid w:val="00A91C60"/>
    <w:rsid w:val="00A9432D"/>
    <w:rsid w:val="00A95F46"/>
    <w:rsid w:val="00A97EAB"/>
    <w:rsid w:val="00AB294B"/>
    <w:rsid w:val="00AB2BA9"/>
    <w:rsid w:val="00AD2EE3"/>
    <w:rsid w:val="00AD4EFF"/>
    <w:rsid w:val="00AF117E"/>
    <w:rsid w:val="00AF6071"/>
    <w:rsid w:val="00B11174"/>
    <w:rsid w:val="00B13719"/>
    <w:rsid w:val="00B21BA1"/>
    <w:rsid w:val="00B317BB"/>
    <w:rsid w:val="00B32539"/>
    <w:rsid w:val="00B44BE6"/>
    <w:rsid w:val="00B47E14"/>
    <w:rsid w:val="00B508C1"/>
    <w:rsid w:val="00B67155"/>
    <w:rsid w:val="00B7215B"/>
    <w:rsid w:val="00B90DA9"/>
    <w:rsid w:val="00B910EC"/>
    <w:rsid w:val="00BA077E"/>
    <w:rsid w:val="00BB2A3C"/>
    <w:rsid w:val="00BB6A0F"/>
    <w:rsid w:val="00BC1A16"/>
    <w:rsid w:val="00BC7B12"/>
    <w:rsid w:val="00BC7FF6"/>
    <w:rsid w:val="00BD4BBA"/>
    <w:rsid w:val="00BE46E6"/>
    <w:rsid w:val="00BE7624"/>
    <w:rsid w:val="00BF175D"/>
    <w:rsid w:val="00BF73F5"/>
    <w:rsid w:val="00C00F56"/>
    <w:rsid w:val="00C1201E"/>
    <w:rsid w:val="00C13F12"/>
    <w:rsid w:val="00C1602F"/>
    <w:rsid w:val="00C24BBE"/>
    <w:rsid w:val="00C34756"/>
    <w:rsid w:val="00C35618"/>
    <w:rsid w:val="00C36DD1"/>
    <w:rsid w:val="00C44A92"/>
    <w:rsid w:val="00C53692"/>
    <w:rsid w:val="00C5440C"/>
    <w:rsid w:val="00C57E31"/>
    <w:rsid w:val="00C66903"/>
    <w:rsid w:val="00C66FFE"/>
    <w:rsid w:val="00C83FE0"/>
    <w:rsid w:val="00C85201"/>
    <w:rsid w:val="00C918BF"/>
    <w:rsid w:val="00C92C3D"/>
    <w:rsid w:val="00C95E82"/>
    <w:rsid w:val="00CB17A0"/>
    <w:rsid w:val="00CB4CCD"/>
    <w:rsid w:val="00CC3AFA"/>
    <w:rsid w:val="00CD1627"/>
    <w:rsid w:val="00CD40BE"/>
    <w:rsid w:val="00CD6285"/>
    <w:rsid w:val="00CF09F7"/>
    <w:rsid w:val="00CF19EB"/>
    <w:rsid w:val="00CF58E3"/>
    <w:rsid w:val="00D03AA4"/>
    <w:rsid w:val="00D1596F"/>
    <w:rsid w:val="00D4199C"/>
    <w:rsid w:val="00D509F2"/>
    <w:rsid w:val="00D51C1B"/>
    <w:rsid w:val="00D55EAE"/>
    <w:rsid w:val="00D64FD1"/>
    <w:rsid w:val="00D7058A"/>
    <w:rsid w:val="00D779BC"/>
    <w:rsid w:val="00D77C56"/>
    <w:rsid w:val="00D851F9"/>
    <w:rsid w:val="00D94D88"/>
    <w:rsid w:val="00DA3C75"/>
    <w:rsid w:val="00DB4447"/>
    <w:rsid w:val="00DD3F60"/>
    <w:rsid w:val="00DD6EEF"/>
    <w:rsid w:val="00DE03D4"/>
    <w:rsid w:val="00DE22CB"/>
    <w:rsid w:val="00DE3CCF"/>
    <w:rsid w:val="00DE4D92"/>
    <w:rsid w:val="00E07DC8"/>
    <w:rsid w:val="00E176A4"/>
    <w:rsid w:val="00E35E1E"/>
    <w:rsid w:val="00E3707F"/>
    <w:rsid w:val="00E414D0"/>
    <w:rsid w:val="00E44E52"/>
    <w:rsid w:val="00E5200A"/>
    <w:rsid w:val="00E5533B"/>
    <w:rsid w:val="00E60B89"/>
    <w:rsid w:val="00E61653"/>
    <w:rsid w:val="00E9119D"/>
    <w:rsid w:val="00EA4A18"/>
    <w:rsid w:val="00EB1E1E"/>
    <w:rsid w:val="00EB2749"/>
    <w:rsid w:val="00EB556C"/>
    <w:rsid w:val="00EC03CA"/>
    <w:rsid w:val="00EC2B1B"/>
    <w:rsid w:val="00EC337B"/>
    <w:rsid w:val="00EC6E17"/>
    <w:rsid w:val="00ED177B"/>
    <w:rsid w:val="00F25332"/>
    <w:rsid w:val="00F35952"/>
    <w:rsid w:val="00F37B86"/>
    <w:rsid w:val="00F74E5E"/>
    <w:rsid w:val="00F83E65"/>
    <w:rsid w:val="00FA2C40"/>
    <w:rsid w:val="00FA7E65"/>
    <w:rsid w:val="00FB63D5"/>
    <w:rsid w:val="00FC04B9"/>
    <w:rsid w:val="00FC1B19"/>
    <w:rsid w:val="00FC38C1"/>
    <w:rsid w:val="00FD0D7E"/>
    <w:rsid w:val="00FD3851"/>
    <w:rsid w:val="00FE188F"/>
    <w:rsid w:val="00FF1FAB"/>
    <w:rsid w:val="013A07AC"/>
    <w:rsid w:val="01801897"/>
    <w:rsid w:val="01B42482"/>
    <w:rsid w:val="01CC68D5"/>
    <w:rsid w:val="01FE50BC"/>
    <w:rsid w:val="02226E7F"/>
    <w:rsid w:val="02300265"/>
    <w:rsid w:val="02377367"/>
    <w:rsid w:val="02536EB3"/>
    <w:rsid w:val="027628C1"/>
    <w:rsid w:val="02E65CAB"/>
    <w:rsid w:val="03136847"/>
    <w:rsid w:val="032125FF"/>
    <w:rsid w:val="032E18D0"/>
    <w:rsid w:val="033011B9"/>
    <w:rsid w:val="03542B62"/>
    <w:rsid w:val="0374404F"/>
    <w:rsid w:val="03993696"/>
    <w:rsid w:val="03A34738"/>
    <w:rsid w:val="03D6609D"/>
    <w:rsid w:val="03D975A9"/>
    <w:rsid w:val="041A1F2A"/>
    <w:rsid w:val="041C0CB1"/>
    <w:rsid w:val="042C3FF2"/>
    <w:rsid w:val="049473D5"/>
    <w:rsid w:val="04E93371"/>
    <w:rsid w:val="05181349"/>
    <w:rsid w:val="055B7332"/>
    <w:rsid w:val="056A798D"/>
    <w:rsid w:val="056F50C1"/>
    <w:rsid w:val="05A66BDC"/>
    <w:rsid w:val="05AF7B68"/>
    <w:rsid w:val="05B04C5F"/>
    <w:rsid w:val="05BE29A4"/>
    <w:rsid w:val="05F00BCD"/>
    <w:rsid w:val="06035414"/>
    <w:rsid w:val="06040F9A"/>
    <w:rsid w:val="06170810"/>
    <w:rsid w:val="062B4B0A"/>
    <w:rsid w:val="063C3FE7"/>
    <w:rsid w:val="06446849"/>
    <w:rsid w:val="066B5F00"/>
    <w:rsid w:val="0675224B"/>
    <w:rsid w:val="067B28EF"/>
    <w:rsid w:val="067E3EB5"/>
    <w:rsid w:val="06CD4B74"/>
    <w:rsid w:val="072314C0"/>
    <w:rsid w:val="074D4BD8"/>
    <w:rsid w:val="077547A1"/>
    <w:rsid w:val="078411C8"/>
    <w:rsid w:val="07885586"/>
    <w:rsid w:val="079E00C6"/>
    <w:rsid w:val="07A42E2C"/>
    <w:rsid w:val="07B363A1"/>
    <w:rsid w:val="07ED7261"/>
    <w:rsid w:val="0838657D"/>
    <w:rsid w:val="084B499D"/>
    <w:rsid w:val="087D641E"/>
    <w:rsid w:val="08854362"/>
    <w:rsid w:val="08A07369"/>
    <w:rsid w:val="08D67DE6"/>
    <w:rsid w:val="091B36AE"/>
    <w:rsid w:val="09277A84"/>
    <w:rsid w:val="098C148C"/>
    <w:rsid w:val="09BB7590"/>
    <w:rsid w:val="09EA1F2A"/>
    <w:rsid w:val="0A0134D2"/>
    <w:rsid w:val="0A2168AE"/>
    <w:rsid w:val="0A2850F6"/>
    <w:rsid w:val="0A4A3AE2"/>
    <w:rsid w:val="0A6B190B"/>
    <w:rsid w:val="0A9C5B25"/>
    <w:rsid w:val="0AC35E88"/>
    <w:rsid w:val="0B3B3C49"/>
    <w:rsid w:val="0B552CB2"/>
    <w:rsid w:val="0B66661D"/>
    <w:rsid w:val="0B7877C8"/>
    <w:rsid w:val="0BC62F1C"/>
    <w:rsid w:val="0BE97A81"/>
    <w:rsid w:val="0C576560"/>
    <w:rsid w:val="0C933759"/>
    <w:rsid w:val="0CAB1015"/>
    <w:rsid w:val="0CB3034F"/>
    <w:rsid w:val="0CD250DF"/>
    <w:rsid w:val="0CDD44D9"/>
    <w:rsid w:val="0D0F22C2"/>
    <w:rsid w:val="0D9E5BE6"/>
    <w:rsid w:val="0DAF2FB0"/>
    <w:rsid w:val="0DE03441"/>
    <w:rsid w:val="0E134225"/>
    <w:rsid w:val="0EA52A65"/>
    <w:rsid w:val="0ECC0D8A"/>
    <w:rsid w:val="0EDD4C09"/>
    <w:rsid w:val="0EE70D61"/>
    <w:rsid w:val="0EFE798E"/>
    <w:rsid w:val="0F1A3D67"/>
    <w:rsid w:val="0F6012E0"/>
    <w:rsid w:val="0F631318"/>
    <w:rsid w:val="0FA5251B"/>
    <w:rsid w:val="0FB60F8D"/>
    <w:rsid w:val="0FB8513C"/>
    <w:rsid w:val="0FBA092F"/>
    <w:rsid w:val="0FBC7FE4"/>
    <w:rsid w:val="101211F8"/>
    <w:rsid w:val="103E6C0E"/>
    <w:rsid w:val="106B20EB"/>
    <w:rsid w:val="108D4479"/>
    <w:rsid w:val="10AD75EF"/>
    <w:rsid w:val="10F42301"/>
    <w:rsid w:val="11065D2C"/>
    <w:rsid w:val="113E62F1"/>
    <w:rsid w:val="1150266C"/>
    <w:rsid w:val="118D5786"/>
    <w:rsid w:val="119414D8"/>
    <w:rsid w:val="12527021"/>
    <w:rsid w:val="126A20AC"/>
    <w:rsid w:val="12907E1F"/>
    <w:rsid w:val="12F03A8D"/>
    <w:rsid w:val="12FB1F1C"/>
    <w:rsid w:val="133D11A7"/>
    <w:rsid w:val="137B6010"/>
    <w:rsid w:val="13CD4BF1"/>
    <w:rsid w:val="13DD765F"/>
    <w:rsid w:val="13F34CA7"/>
    <w:rsid w:val="14087139"/>
    <w:rsid w:val="14391C5C"/>
    <w:rsid w:val="14694151"/>
    <w:rsid w:val="14864269"/>
    <w:rsid w:val="149013EC"/>
    <w:rsid w:val="152A2FC9"/>
    <w:rsid w:val="152E38AF"/>
    <w:rsid w:val="153D6DEC"/>
    <w:rsid w:val="15427203"/>
    <w:rsid w:val="159B6280"/>
    <w:rsid w:val="159E5897"/>
    <w:rsid w:val="16126D17"/>
    <w:rsid w:val="16155210"/>
    <w:rsid w:val="1617420C"/>
    <w:rsid w:val="163070EE"/>
    <w:rsid w:val="16362C2D"/>
    <w:rsid w:val="164A5F12"/>
    <w:rsid w:val="167A67DF"/>
    <w:rsid w:val="169D49D1"/>
    <w:rsid w:val="16A9227F"/>
    <w:rsid w:val="16F53929"/>
    <w:rsid w:val="171325EA"/>
    <w:rsid w:val="176F4079"/>
    <w:rsid w:val="177F4193"/>
    <w:rsid w:val="1827500E"/>
    <w:rsid w:val="184A069F"/>
    <w:rsid w:val="186E5D8B"/>
    <w:rsid w:val="188075F1"/>
    <w:rsid w:val="18BC72C8"/>
    <w:rsid w:val="18EA21F0"/>
    <w:rsid w:val="18F60A16"/>
    <w:rsid w:val="19406BCA"/>
    <w:rsid w:val="19474B95"/>
    <w:rsid w:val="194A19B6"/>
    <w:rsid w:val="19F568BA"/>
    <w:rsid w:val="19F81BC6"/>
    <w:rsid w:val="1A256AD9"/>
    <w:rsid w:val="1A5B3DAB"/>
    <w:rsid w:val="1AB64641"/>
    <w:rsid w:val="1AF12911"/>
    <w:rsid w:val="1B467D71"/>
    <w:rsid w:val="1B4936D1"/>
    <w:rsid w:val="1BA71B66"/>
    <w:rsid w:val="1C2C60FF"/>
    <w:rsid w:val="1C3950EF"/>
    <w:rsid w:val="1C512FEB"/>
    <w:rsid w:val="1C516DE1"/>
    <w:rsid w:val="1C722CC4"/>
    <w:rsid w:val="1CDD6E64"/>
    <w:rsid w:val="1D1539F9"/>
    <w:rsid w:val="1D3E52D1"/>
    <w:rsid w:val="1D3F2331"/>
    <w:rsid w:val="1D60611F"/>
    <w:rsid w:val="1D6B54AE"/>
    <w:rsid w:val="1DDD42E3"/>
    <w:rsid w:val="1DE47FE4"/>
    <w:rsid w:val="1E030DC8"/>
    <w:rsid w:val="1E352383"/>
    <w:rsid w:val="1E413716"/>
    <w:rsid w:val="1E521BF4"/>
    <w:rsid w:val="1EC010C5"/>
    <w:rsid w:val="1F472A93"/>
    <w:rsid w:val="1FD51345"/>
    <w:rsid w:val="1FF47788"/>
    <w:rsid w:val="1FFD717D"/>
    <w:rsid w:val="2060339D"/>
    <w:rsid w:val="206904BF"/>
    <w:rsid w:val="20E740D0"/>
    <w:rsid w:val="210B020D"/>
    <w:rsid w:val="21264EDF"/>
    <w:rsid w:val="213A5AFE"/>
    <w:rsid w:val="218C3503"/>
    <w:rsid w:val="21A842C7"/>
    <w:rsid w:val="21B948C1"/>
    <w:rsid w:val="21C959D5"/>
    <w:rsid w:val="21EB48C3"/>
    <w:rsid w:val="2252490D"/>
    <w:rsid w:val="227809D0"/>
    <w:rsid w:val="2293195D"/>
    <w:rsid w:val="22D44351"/>
    <w:rsid w:val="2308324D"/>
    <w:rsid w:val="233532C4"/>
    <w:rsid w:val="23361551"/>
    <w:rsid w:val="23553444"/>
    <w:rsid w:val="235B21A7"/>
    <w:rsid w:val="23B6651B"/>
    <w:rsid w:val="23E33E97"/>
    <w:rsid w:val="23EB7086"/>
    <w:rsid w:val="23EF74E8"/>
    <w:rsid w:val="245A4B65"/>
    <w:rsid w:val="24833B78"/>
    <w:rsid w:val="24A3232E"/>
    <w:rsid w:val="250E59A5"/>
    <w:rsid w:val="2540053D"/>
    <w:rsid w:val="25572EC0"/>
    <w:rsid w:val="25583F8F"/>
    <w:rsid w:val="259C5104"/>
    <w:rsid w:val="25B2644E"/>
    <w:rsid w:val="25BE790E"/>
    <w:rsid w:val="25CF5599"/>
    <w:rsid w:val="260B5408"/>
    <w:rsid w:val="26596DA2"/>
    <w:rsid w:val="27055672"/>
    <w:rsid w:val="276D47EC"/>
    <w:rsid w:val="27A53E9F"/>
    <w:rsid w:val="27AE3794"/>
    <w:rsid w:val="27E91062"/>
    <w:rsid w:val="27FB0559"/>
    <w:rsid w:val="284E5F7C"/>
    <w:rsid w:val="28662B70"/>
    <w:rsid w:val="293911B4"/>
    <w:rsid w:val="296C6E71"/>
    <w:rsid w:val="298D1D5A"/>
    <w:rsid w:val="29A55AC6"/>
    <w:rsid w:val="2A102E33"/>
    <w:rsid w:val="2A14318A"/>
    <w:rsid w:val="2A2C3452"/>
    <w:rsid w:val="2A436DFC"/>
    <w:rsid w:val="2A903B65"/>
    <w:rsid w:val="2AE835BC"/>
    <w:rsid w:val="2B3A3DF9"/>
    <w:rsid w:val="2B4F3A96"/>
    <w:rsid w:val="2B7E0679"/>
    <w:rsid w:val="2BC41F0F"/>
    <w:rsid w:val="2C335D75"/>
    <w:rsid w:val="2C6D35B3"/>
    <w:rsid w:val="2C763105"/>
    <w:rsid w:val="2C871C77"/>
    <w:rsid w:val="2C934F3A"/>
    <w:rsid w:val="2C9D73E4"/>
    <w:rsid w:val="2CA3166B"/>
    <w:rsid w:val="2CA32A24"/>
    <w:rsid w:val="2CD4437F"/>
    <w:rsid w:val="2CDB21F2"/>
    <w:rsid w:val="2CE0580D"/>
    <w:rsid w:val="2D2E2357"/>
    <w:rsid w:val="2D5C6165"/>
    <w:rsid w:val="2D95431B"/>
    <w:rsid w:val="2D9D23B7"/>
    <w:rsid w:val="2DA53D49"/>
    <w:rsid w:val="2DBD1F83"/>
    <w:rsid w:val="2DDD46D7"/>
    <w:rsid w:val="2DE64940"/>
    <w:rsid w:val="2E0715EA"/>
    <w:rsid w:val="2E710F25"/>
    <w:rsid w:val="2E7C3A67"/>
    <w:rsid w:val="2E7E4C90"/>
    <w:rsid w:val="2ECC1A41"/>
    <w:rsid w:val="2F43443B"/>
    <w:rsid w:val="2F504A9E"/>
    <w:rsid w:val="2F717EA7"/>
    <w:rsid w:val="2F7C1090"/>
    <w:rsid w:val="2FB0199E"/>
    <w:rsid w:val="2FBF6F5E"/>
    <w:rsid w:val="305B3C7D"/>
    <w:rsid w:val="306A51B1"/>
    <w:rsid w:val="306A79DD"/>
    <w:rsid w:val="30820253"/>
    <w:rsid w:val="30A0380E"/>
    <w:rsid w:val="30C21AC9"/>
    <w:rsid w:val="30E54651"/>
    <w:rsid w:val="30EF619B"/>
    <w:rsid w:val="313633F3"/>
    <w:rsid w:val="313F2733"/>
    <w:rsid w:val="314544DD"/>
    <w:rsid w:val="314A3D5B"/>
    <w:rsid w:val="316B25B6"/>
    <w:rsid w:val="31723B02"/>
    <w:rsid w:val="31855E3D"/>
    <w:rsid w:val="31911E35"/>
    <w:rsid w:val="31927D00"/>
    <w:rsid w:val="319C4144"/>
    <w:rsid w:val="322C7D0B"/>
    <w:rsid w:val="32536E98"/>
    <w:rsid w:val="32B80440"/>
    <w:rsid w:val="32DA2883"/>
    <w:rsid w:val="32FD0562"/>
    <w:rsid w:val="3332690B"/>
    <w:rsid w:val="334457E6"/>
    <w:rsid w:val="33994127"/>
    <w:rsid w:val="340D04DF"/>
    <w:rsid w:val="345B63E6"/>
    <w:rsid w:val="34982340"/>
    <w:rsid w:val="34AD10E7"/>
    <w:rsid w:val="34BA214A"/>
    <w:rsid w:val="34D96E0E"/>
    <w:rsid w:val="34E058A4"/>
    <w:rsid w:val="3517466A"/>
    <w:rsid w:val="3541567F"/>
    <w:rsid w:val="35561891"/>
    <w:rsid w:val="35C42453"/>
    <w:rsid w:val="35C975A4"/>
    <w:rsid w:val="361041DF"/>
    <w:rsid w:val="3649547D"/>
    <w:rsid w:val="36745C03"/>
    <w:rsid w:val="36BD4AB8"/>
    <w:rsid w:val="36C96C9E"/>
    <w:rsid w:val="36CF5FFE"/>
    <w:rsid w:val="36ED3C18"/>
    <w:rsid w:val="36F67EC8"/>
    <w:rsid w:val="371C0400"/>
    <w:rsid w:val="37492D4C"/>
    <w:rsid w:val="375D60A3"/>
    <w:rsid w:val="37A31932"/>
    <w:rsid w:val="37CF70A9"/>
    <w:rsid w:val="380776D4"/>
    <w:rsid w:val="38B707F1"/>
    <w:rsid w:val="39267194"/>
    <w:rsid w:val="396341AB"/>
    <w:rsid w:val="39897BF7"/>
    <w:rsid w:val="39CB465D"/>
    <w:rsid w:val="39D22E88"/>
    <w:rsid w:val="3A13730E"/>
    <w:rsid w:val="3A2200A7"/>
    <w:rsid w:val="3AD16475"/>
    <w:rsid w:val="3AE81C1E"/>
    <w:rsid w:val="3AF74B45"/>
    <w:rsid w:val="3BB6395F"/>
    <w:rsid w:val="3C27601C"/>
    <w:rsid w:val="3C540446"/>
    <w:rsid w:val="3C580DD8"/>
    <w:rsid w:val="3CBF57D4"/>
    <w:rsid w:val="3CEE5D90"/>
    <w:rsid w:val="3D2A07D7"/>
    <w:rsid w:val="3D8E5F6C"/>
    <w:rsid w:val="3DC9235F"/>
    <w:rsid w:val="3DEE739A"/>
    <w:rsid w:val="3E045955"/>
    <w:rsid w:val="3E2928AA"/>
    <w:rsid w:val="3E7C30D1"/>
    <w:rsid w:val="3E9A72A1"/>
    <w:rsid w:val="3EC373AA"/>
    <w:rsid w:val="3ED67460"/>
    <w:rsid w:val="3F3D66CD"/>
    <w:rsid w:val="3F744629"/>
    <w:rsid w:val="3FD32BB8"/>
    <w:rsid w:val="3FE878B6"/>
    <w:rsid w:val="401D5E56"/>
    <w:rsid w:val="405139D2"/>
    <w:rsid w:val="40774519"/>
    <w:rsid w:val="40ED6EDE"/>
    <w:rsid w:val="41451DE3"/>
    <w:rsid w:val="4174439A"/>
    <w:rsid w:val="41F76849"/>
    <w:rsid w:val="421C341D"/>
    <w:rsid w:val="42237D0A"/>
    <w:rsid w:val="4226002E"/>
    <w:rsid w:val="425101DD"/>
    <w:rsid w:val="425813A7"/>
    <w:rsid w:val="425E3CE6"/>
    <w:rsid w:val="42662B39"/>
    <w:rsid w:val="42E2671F"/>
    <w:rsid w:val="42EB1794"/>
    <w:rsid w:val="43312EC1"/>
    <w:rsid w:val="43577787"/>
    <w:rsid w:val="438453D5"/>
    <w:rsid w:val="43B006A9"/>
    <w:rsid w:val="43CB199F"/>
    <w:rsid w:val="44673A6C"/>
    <w:rsid w:val="44727382"/>
    <w:rsid w:val="4488447C"/>
    <w:rsid w:val="44E05F8D"/>
    <w:rsid w:val="452D74C8"/>
    <w:rsid w:val="45A81610"/>
    <w:rsid w:val="45D92AA2"/>
    <w:rsid w:val="45F86314"/>
    <w:rsid w:val="463D1398"/>
    <w:rsid w:val="463D487E"/>
    <w:rsid w:val="46467996"/>
    <w:rsid w:val="467A71E9"/>
    <w:rsid w:val="468B51E5"/>
    <w:rsid w:val="46AE36CC"/>
    <w:rsid w:val="46CD5B27"/>
    <w:rsid w:val="472D4AE4"/>
    <w:rsid w:val="475A0E25"/>
    <w:rsid w:val="477433AA"/>
    <w:rsid w:val="47867564"/>
    <w:rsid w:val="47B13336"/>
    <w:rsid w:val="47EC2593"/>
    <w:rsid w:val="481D7858"/>
    <w:rsid w:val="4844501C"/>
    <w:rsid w:val="487D0486"/>
    <w:rsid w:val="487E6827"/>
    <w:rsid w:val="488D1BB3"/>
    <w:rsid w:val="489F3B56"/>
    <w:rsid w:val="48D55C81"/>
    <w:rsid w:val="48FD70CE"/>
    <w:rsid w:val="49B56187"/>
    <w:rsid w:val="49E60E5D"/>
    <w:rsid w:val="4A1909A0"/>
    <w:rsid w:val="4A2014B7"/>
    <w:rsid w:val="4A280604"/>
    <w:rsid w:val="4A874B09"/>
    <w:rsid w:val="4AA8729E"/>
    <w:rsid w:val="4AF56EC6"/>
    <w:rsid w:val="4B777293"/>
    <w:rsid w:val="4BEE44F2"/>
    <w:rsid w:val="4BF547E4"/>
    <w:rsid w:val="4C0774AD"/>
    <w:rsid w:val="4C452A2E"/>
    <w:rsid w:val="4C590EFA"/>
    <w:rsid w:val="4C70693C"/>
    <w:rsid w:val="4C8537C9"/>
    <w:rsid w:val="4C957E34"/>
    <w:rsid w:val="4C9C21E9"/>
    <w:rsid w:val="4C9D3285"/>
    <w:rsid w:val="4CA73341"/>
    <w:rsid w:val="4CA74208"/>
    <w:rsid w:val="4CC70070"/>
    <w:rsid w:val="4CF66DE9"/>
    <w:rsid w:val="4CFD5365"/>
    <w:rsid w:val="4D0B1526"/>
    <w:rsid w:val="4D234ECE"/>
    <w:rsid w:val="4DCB5250"/>
    <w:rsid w:val="4E2F0457"/>
    <w:rsid w:val="4E4350F3"/>
    <w:rsid w:val="4E546A0E"/>
    <w:rsid w:val="4E6B3204"/>
    <w:rsid w:val="4F873962"/>
    <w:rsid w:val="4F92738F"/>
    <w:rsid w:val="4FA662CE"/>
    <w:rsid w:val="4FB63CF5"/>
    <w:rsid w:val="4FC078E9"/>
    <w:rsid w:val="4FC17B04"/>
    <w:rsid w:val="4FFF2B45"/>
    <w:rsid w:val="500037D4"/>
    <w:rsid w:val="50205D85"/>
    <w:rsid w:val="502305CE"/>
    <w:rsid w:val="50E20028"/>
    <w:rsid w:val="50EB273B"/>
    <w:rsid w:val="50F87889"/>
    <w:rsid w:val="514B229E"/>
    <w:rsid w:val="517860F3"/>
    <w:rsid w:val="51860E9E"/>
    <w:rsid w:val="524A4D58"/>
    <w:rsid w:val="52955FB3"/>
    <w:rsid w:val="52960FF2"/>
    <w:rsid w:val="52B87DC4"/>
    <w:rsid w:val="52F42575"/>
    <w:rsid w:val="534D12A4"/>
    <w:rsid w:val="53531B4B"/>
    <w:rsid w:val="536329BD"/>
    <w:rsid w:val="53647DA3"/>
    <w:rsid w:val="53AC5096"/>
    <w:rsid w:val="53AF116F"/>
    <w:rsid w:val="53BD5C40"/>
    <w:rsid w:val="5414133C"/>
    <w:rsid w:val="545E1071"/>
    <w:rsid w:val="54A440DF"/>
    <w:rsid w:val="54BA2EAE"/>
    <w:rsid w:val="54FD5792"/>
    <w:rsid w:val="55A93686"/>
    <w:rsid w:val="55E114D5"/>
    <w:rsid w:val="55EA4995"/>
    <w:rsid w:val="564A3398"/>
    <w:rsid w:val="56C4107E"/>
    <w:rsid w:val="57045D5A"/>
    <w:rsid w:val="5735569F"/>
    <w:rsid w:val="578A7A88"/>
    <w:rsid w:val="578F58C9"/>
    <w:rsid w:val="57C52CA4"/>
    <w:rsid w:val="57DD2F9F"/>
    <w:rsid w:val="580C0E2F"/>
    <w:rsid w:val="582B1C27"/>
    <w:rsid w:val="584552BF"/>
    <w:rsid w:val="58EC44DE"/>
    <w:rsid w:val="592120C0"/>
    <w:rsid w:val="59331502"/>
    <w:rsid w:val="594C5E66"/>
    <w:rsid w:val="59890B26"/>
    <w:rsid w:val="599778BB"/>
    <w:rsid w:val="59AB15BF"/>
    <w:rsid w:val="59E545C2"/>
    <w:rsid w:val="5A0443D6"/>
    <w:rsid w:val="5A3452E4"/>
    <w:rsid w:val="5A401792"/>
    <w:rsid w:val="5A4D13BA"/>
    <w:rsid w:val="5B690751"/>
    <w:rsid w:val="5B693B63"/>
    <w:rsid w:val="5BFC0E82"/>
    <w:rsid w:val="5C1D1464"/>
    <w:rsid w:val="5C9E6A24"/>
    <w:rsid w:val="5CC036D5"/>
    <w:rsid w:val="5CCC4274"/>
    <w:rsid w:val="5CFA2EC3"/>
    <w:rsid w:val="5D2C144D"/>
    <w:rsid w:val="5D81625E"/>
    <w:rsid w:val="5D906BF5"/>
    <w:rsid w:val="5DB47334"/>
    <w:rsid w:val="5DC33751"/>
    <w:rsid w:val="5E172770"/>
    <w:rsid w:val="5E317753"/>
    <w:rsid w:val="5E3D0404"/>
    <w:rsid w:val="5EC20FA6"/>
    <w:rsid w:val="5EC62701"/>
    <w:rsid w:val="5EF83911"/>
    <w:rsid w:val="5F3F5335"/>
    <w:rsid w:val="5F6E31CD"/>
    <w:rsid w:val="5F9526D7"/>
    <w:rsid w:val="60286820"/>
    <w:rsid w:val="60555FE4"/>
    <w:rsid w:val="60AA0D0D"/>
    <w:rsid w:val="60CB4152"/>
    <w:rsid w:val="60CD632C"/>
    <w:rsid w:val="60CF3E48"/>
    <w:rsid w:val="60D45B6B"/>
    <w:rsid w:val="60DC139E"/>
    <w:rsid w:val="60F40A4B"/>
    <w:rsid w:val="610F0A2B"/>
    <w:rsid w:val="61134789"/>
    <w:rsid w:val="612C42F2"/>
    <w:rsid w:val="612E74FF"/>
    <w:rsid w:val="61427D4E"/>
    <w:rsid w:val="616C4576"/>
    <w:rsid w:val="61AE3C5C"/>
    <w:rsid w:val="61C1436C"/>
    <w:rsid w:val="61C331AA"/>
    <w:rsid w:val="61FD7C20"/>
    <w:rsid w:val="62153A13"/>
    <w:rsid w:val="62543634"/>
    <w:rsid w:val="62797BF1"/>
    <w:rsid w:val="6284234E"/>
    <w:rsid w:val="62893783"/>
    <w:rsid w:val="62AE1103"/>
    <w:rsid w:val="62F62752"/>
    <w:rsid w:val="63075C78"/>
    <w:rsid w:val="63990AB5"/>
    <w:rsid w:val="63F27705"/>
    <w:rsid w:val="645F16B8"/>
    <w:rsid w:val="6478665D"/>
    <w:rsid w:val="647D06BF"/>
    <w:rsid w:val="64A0181F"/>
    <w:rsid w:val="64C54636"/>
    <w:rsid w:val="650961CA"/>
    <w:rsid w:val="650A4CE3"/>
    <w:rsid w:val="652F4849"/>
    <w:rsid w:val="653B6DB7"/>
    <w:rsid w:val="657B34F3"/>
    <w:rsid w:val="65A208EF"/>
    <w:rsid w:val="65B6240C"/>
    <w:rsid w:val="65CA0FF0"/>
    <w:rsid w:val="65EE2C12"/>
    <w:rsid w:val="662B515E"/>
    <w:rsid w:val="6640611A"/>
    <w:rsid w:val="66787AF8"/>
    <w:rsid w:val="66C47EC6"/>
    <w:rsid w:val="66D53FEE"/>
    <w:rsid w:val="66DC1883"/>
    <w:rsid w:val="66F73C73"/>
    <w:rsid w:val="67201A40"/>
    <w:rsid w:val="67515402"/>
    <w:rsid w:val="67521566"/>
    <w:rsid w:val="679B4A1A"/>
    <w:rsid w:val="680A1C1C"/>
    <w:rsid w:val="680A7425"/>
    <w:rsid w:val="68224AB7"/>
    <w:rsid w:val="68371EB1"/>
    <w:rsid w:val="685A75E8"/>
    <w:rsid w:val="68615EDB"/>
    <w:rsid w:val="68914EC2"/>
    <w:rsid w:val="68947143"/>
    <w:rsid w:val="689B0172"/>
    <w:rsid w:val="68B45CF7"/>
    <w:rsid w:val="68F52B6F"/>
    <w:rsid w:val="68FD24D6"/>
    <w:rsid w:val="69017C1D"/>
    <w:rsid w:val="691A4459"/>
    <w:rsid w:val="692D0390"/>
    <w:rsid w:val="69556EB7"/>
    <w:rsid w:val="69C317F5"/>
    <w:rsid w:val="6A0551DE"/>
    <w:rsid w:val="6A120D25"/>
    <w:rsid w:val="6A2A5219"/>
    <w:rsid w:val="6ACE7A21"/>
    <w:rsid w:val="6AF93859"/>
    <w:rsid w:val="6B005FF4"/>
    <w:rsid w:val="6B0F5C47"/>
    <w:rsid w:val="6B0F64E6"/>
    <w:rsid w:val="6B125020"/>
    <w:rsid w:val="6B4500D3"/>
    <w:rsid w:val="6BD27171"/>
    <w:rsid w:val="6BFA7F32"/>
    <w:rsid w:val="6C963BCE"/>
    <w:rsid w:val="6CF1031B"/>
    <w:rsid w:val="6D184D18"/>
    <w:rsid w:val="6D36084C"/>
    <w:rsid w:val="6D6738CE"/>
    <w:rsid w:val="6D9825D1"/>
    <w:rsid w:val="6DCE1423"/>
    <w:rsid w:val="6EB9047F"/>
    <w:rsid w:val="6EC05DE2"/>
    <w:rsid w:val="6ED802A2"/>
    <w:rsid w:val="6EF72575"/>
    <w:rsid w:val="6F0A4E44"/>
    <w:rsid w:val="6F6C51AB"/>
    <w:rsid w:val="6F8705F8"/>
    <w:rsid w:val="6FC54D50"/>
    <w:rsid w:val="701A1470"/>
    <w:rsid w:val="70327D19"/>
    <w:rsid w:val="70516DB9"/>
    <w:rsid w:val="70572659"/>
    <w:rsid w:val="70F62EA0"/>
    <w:rsid w:val="710E46EC"/>
    <w:rsid w:val="71324139"/>
    <w:rsid w:val="717C6EE8"/>
    <w:rsid w:val="71B37311"/>
    <w:rsid w:val="721D2A0D"/>
    <w:rsid w:val="722517F9"/>
    <w:rsid w:val="727B7904"/>
    <w:rsid w:val="728523DB"/>
    <w:rsid w:val="72911A25"/>
    <w:rsid w:val="729A06CA"/>
    <w:rsid w:val="72B64437"/>
    <w:rsid w:val="72E00FB4"/>
    <w:rsid w:val="7375573E"/>
    <w:rsid w:val="73B04906"/>
    <w:rsid w:val="73CB0206"/>
    <w:rsid w:val="73DD45C2"/>
    <w:rsid w:val="74207C6A"/>
    <w:rsid w:val="7421270C"/>
    <w:rsid w:val="742A058B"/>
    <w:rsid w:val="74BA419B"/>
    <w:rsid w:val="74D41120"/>
    <w:rsid w:val="74EA6C4B"/>
    <w:rsid w:val="750F6B26"/>
    <w:rsid w:val="751B464E"/>
    <w:rsid w:val="755C07D6"/>
    <w:rsid w:val="757E009D"/>
    <w:rsid w:val="75E87AC0"/>
    <w:rsid w:val="75EE5A09"/>
    <w:rsid w:val="763318E4"/>
    <w:rsid w:val="76754CBB"/>
    <w:rsid w:val="76BF1D6F"/>
    <w:rsid w:val="76DA30E5"/>
    <w:rsid w:val="76F81FC6"/>
    <w:rsid w:val="77127EBF"/>
    <w:rsid w:val="771C067A"/>
    <w:rsid w:val="77535900"/>
    <w:rsid w:val="775C04C5"/>
    <w:rsid w:val="777170F2"/>
    <w:rsid w:val="77753DAA"/>
    <w:rsid w:val="77A33325"/>
    <w:rsid w:val="77DB2ADA"/>
    <w:rsid w:val="77DD60B4"/>
    <w:rsid w:val="78186CD6"/>
    <w:rsid w:val="782A4815"/>
    <w:rsid w:val="785602F4"/>
    <w:rsid w:val="78656D33"/>
    <w:rsid w:val="789828EB"/>
    <w:rsid w:val="78A9770C"/>
    <w:rsid w:val="78AB11DE"/>
    <w:rsid w:val="78CB590B"/>
    <w:rsid w:val="78D72BBA"/>
    <w:rsid w:val="79036C4A"/>
    <w:rsid w:val="792403B1"/>
    <w:rsid w:val="797804DF"/>
    <w:rsid w:val="799506AF"/>
    <w:rsid w:val="79B774AA"/>
    <w:rsid w:val="7A380AA1"/>
    <w:rsid w:val="7A587B47"/>
    <w:rsid w:val="7A933FC1"/>
    <w:rsid w:val="7B1153C0"/>
    <w:rsid w:val="7B43173F"/>
    <w:rsid w:val="7B4A5D58"/>
    <w:rsid w:val="7B823B87"/>
    <w:rsid w:val="7BE105FE"/>
    <w:rsid w:val="7BE71557"/>
    <w:rsid w:val="7C4272C0"/>
    <w:rsid w:val="7CA82D21"/>
    <w:rsid w:val="7CDF1EF4"/>
    <w:rsid w:val="7D112490"/>
    <w:rsid w:val="7D1B3445"/>
    <w:rsid w:val="7D255511"/>
    <w:rsid w:val="7D5C121C"/>
    <w:rsid w:val="7D5F6D3B"/>
    <w:rsid w:val="7D985C38"/>
    <w:rsid w:val="7D9D01C0"/>
    <w:rsid w:val="7DAD344E"/>
    <w:rsid w:val="7DC02994"/>
    <w:rsid w:val="7DD55341"/>
    <w:rsid w:val="7DFA229B"/>
    <w:rsid w:val="7E227FF4"/>
    <w:rsid w:val="7E727180"/>
    <w:rsid w:val="7E8F16A4"/>
    <w:rsid w:val="7ECE3ADA"/>
    <w:rsid w:val="7EF32201"/>
    <w:rsid w:val="7F113252"/>
    <w:rsid w:val="7F4D6E65"/>
    <w:rsid w:val="7F650ED9"/>
    <w:rsid w:val="7F8F63FA"/>
    <w:rsid w:val="7F916678"/>
    <w:rsid w:val="7FF7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unhideWhenUsed/>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annotation subject"/>
    <w:basedOn w:val="2"/>
    <w:next w:val="2"/>
    <w:link w:val="15"/>
    <w:qFormat/>
    <w:uiPriority w:val="0"/>
    <w:rPr>
      <w:b/>
      <w:bCs/>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annotation reference"/>
    <w:basedOn w:val="8"/>
    <w:qFormat/>
    <w:uiPriority w:val="0"/>
    <w:rPr>
      <w:sz w:val="21"/>
      <w:szCs w:val="21"/>
    </w:rPr>
  </w:style>
  <w:style w:type="paragraph" w:styleId="10">
    <w:name w:val="List Paragraph"/>
    <w:basedOn w:val="1"/>
    <w:qFormat/>
    <w:uiPriority w:val="34"/>
    <w:pPr>
      <w:ind w:firstLine="420" w:firstLineChars="200"/>
    </w:pPr>
  </w:style>
  <w:style w:type="paragraph" w:customStyle="1" w:styleId="11">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2">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3">
    <w:name w:val="修订3"/>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
    <w:name w:val="批注文字 字符"/>
    <w:basedOn w:val="8"/>
    <w:link w:val="2"/>
    <w:qFormat/>
    <w:uiPriority w:val="99"/>
    <w:rPr>
      <w:rFonts w:asciiTheme="minorHAnsi" w:hAnsiTheme="minorHAnsi" w:eastAsiaTheme="minorEastAsia" w:cstheme="minorBidi"/>
      <w:kern w:val="2"/>
      <w:sz w:val="21"/>
      <w:szCs w:val="22"/>
    </w:rPr>
  </w:style>
  <w:style w:type="character" w:customStyle="1" w:styleId="15">
    <w:name w:val="批注主题 字符"/>
    <w:basedOn w:val="14"/>
    <w:link w:val="5"/>
    <w:qFormat/>
    <w:uiPriority w:val="0"/>
    <w:rPr>
      <w:rFonts w:asciiTheme="minorHAnsi" w:hAnsiTheme="minorHAnsi" w:eastAsiaTheme="minorEastAsia" w:cstheme="minorBidi"/>
      <w:b/>
      <w:bCs/>
      <w:kern w:val="2"/>
      <w:sz w:val="21"/>
      <w:szCs w:val="22"/>
    </w:rPr>
  </w:style>
  <w:style w:type="paragraph" w:customStyle="1" w:styleId="16">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7">
    <w:name w:val="修订5"/>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8">
    <w:name w:val="修订6"/>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9">
    <w:name w:val="修订7"/>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0">
    <w:name w:val="修订8"/>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1">
    <w:name w:val="修订9"/>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2">
    <w:name w:val="修订10"/>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3">
    <w:name w:val="修订1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4">
    <w:name w:val="修订12"/>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5">
    <w:name w:val="Revision"/>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customXml/item2.xml" Type="http://schemas.openxmlformats.org/officeDocument/2006/relationships/customXml"/><Relationship Id="rId9"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C31AAE-A65A-4E69-A7A3-3CC3F67A330C}">
  <ds:schemaRefs/>
</ds:datastoreItem>
</file>

<file path=docProps/app.xml><?xml version="1.0" encoding="utf-8"?>
<Properties xmlns="http://schemas.openxmlformats.org/officeDocument/2006/extended-properties" xmlns:vt="http://schemas.openxmlformats.org/officeDocument/2006/docPropsVTypes">
  <Template>Normal</Template>
  <Pages>36</Pages>
  <Words>4788</Words>
  <Characters>27296</Characters>
  <Lines>227</Lines>
  <Paragraphs>64</Paragraphs>
  <TotalTime>90</TotalTime>
  <ScaleCrop>false</ScaleCrop>
  <LinksUpToDate>false</LinksUpToDate>
  <CharactersWithSpaces>32020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2025-01-09T03:24:00Z</dcterms:created>
  <cp:lastModifiedBy>shuo.lian</cp:lastModifiedBy>
  <cp:lastPrinted>2024-10-23T10:08:00Z</cp:lastPrinted>
  <dcterms:modified xsi:type="dcterms:W3CDTF">2026-07-06T01:29:45Z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115A95668FBC4FE493120814206CFB4D</vt:lpwstr>
  </property>
</Properties>
</file>