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r>
        <w:rPr>
          <w:rFonts w:hint="eastAsia" w:ascii="华文仿宋" w:hAnsi="华文仿宋" w:eastAsia="华文仿宋" w:cs="华文仿宋"/>
          <w:b/>
          <w:bCs/>
          <w:sz w:val="32"/>
          <w:szCs w:val="32"/>
          <w:highlight w:val="none"/>
          <w:lang w:eastAsia="zh-CN"/>
        </w:rPr>
        <w:t>渤银理财财收有略系列固定收益类一年封闭式理财产品2026年181号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9"/>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9"/>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9"/>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本</w:t>
      </w:r>
      <w:r>
        <w:rPr>
          <w:rFonts w:hint="eastAsia" w:ascii="宋体" w:hAnsi="宋体" w:eastAsia="宋体"/>
          <w:b/>
          <w:bCs/>
          <w:sz w:val="24"/>
          <w:szCs w:val="24"/>
          <w:highlight w:val="none"/>
        </w:rPr>
        <w:t>理财产品允许单一投资者持有份额超过总份额的50%，</w:t>
      </w:r>
      <w:r>
        <w:rPr>
          <w:rFonts w:hint="eastAsia" w:ascii="宋体" w:hAnsi="宋体" w:eastAsia="宋体"/>
          <w:b/>
          <w:bCs/>
          <w:sz w:val="24"/>
          <w:szCs w:val="24"/>
          <w:highlight w:val="none"/>
          <w:lang w:val="en-US" w:eastAsia="zh-CN"/>
        </w:rPr>
        <w:t>依据法律法规相关规定，</w:t>
      </w:r>
      <w:r>
        <w:rPr>
          <w:rFonts w:hint="eastAsia" w:ascii="宋体" w:hAnsi="宋体" w:eastAsia="宋体"/>
          <w:b/>
          <w:bCs/>
          <w:sz w:val="24"/>
          <w:szCs w:val="24"/>
          <w:highlight w:val="none"/>
        </w:rPr>
        <w:t>采用封闭</w:t>
      </w:r>
      <w:r>
        <w:rPr>
          <w:rFonts w:hint="eastAsia" w:ascii="宋体" w:hAnsi="宋体" w:eastAsia="宋体"/>
          <w:b/>
          <w:bCs/>
          <w:sz w:val="24"/>
          <w:szCs w:val="24"/>
          <w:highlight w:val="none"/>
          <w:lang w:val="en-US" w:eastAsia="zh-CN"/>
        </w:rPr>
        <w:t>式</w:t>
      </w:r>
      <w:r>
        <w:rPr>
          <w:rFonts w:hint="eastAsia" w:ascii="宋体" w:hAnsi="宋体" w:eastAsia="宋体"/>
          <w:b/>
          <w:bCs/>
          <w:sz w:val="24"/>
          <w:szCs w:val="24"/>
          <w:highlight w:val="none"/>
        </w:rPr>
        <w:t>运作方式，不向个人投资者公开发售。投资者应充分知悉并高度关注因</w:t>
      </w:r>
      <w:r>
        <w:rPr>
          <w:rFonts w:hint="eastAsia" w:ascii="宋体" w:hAnsi="宋体" w:eastAsia="宋体"/>
          <w:b/>
          <w:bCs/>
          <w:sz w:val="24"/>
          <w:szCs w:val="24"/>
          <w:highlight w:val="none"/>
          <w:lang w:val="en-US" w:eastAsia="zh-CN"/>
        </w:rPr>
        <w:t>单一投资者持有份额占比较高可能引起</w:t>
      </w:r>
      <w:r>
        <w:rPr>
          <w:rFonts w:hint="eastAsia" w:ascii="宋体" w:hAnsi="宋体" w:eastAsia="宋体"/>
          <w:b/>
          <w:bCs/>
          <w:sz w:val="24"/>
          <w:szCs w:val="24"/>
          <w:highlight w:val="none"/>
        </w:rPr>
        <w:t>的产品流动性</w:t>
      </w:r>
      <w:r>
        <w:rPr>
          <w:rFonts w:hint="eastAsia" w:ascii="宋体" w:hAnsi="宋体" w:eastAsia="宋体"/>
          <w:b/>
          <w:bCs/>
          <w:sz w:val="24"/>
          <w:szCs w:val="24"/>
          <w:highlight w:val="none"/>
          <w:lang w:val="en-US" w:eastAsia="zh-CN"/>
        </w:rPr>
        <w:t>风险</w:t>
      </w:r>
      <w:r>
        <w:rPr>
          <w:rFonts w:hint="eastAsia" w:ascii="宋体" w:hAnsi="宋体" w:eastAsia="宋体"/>
          <w:b/>
          <w:bCs/>
          <w:sz w:val="24"/>
          <w:szCs w:val="24"/>
          <w:highlight w:val="none"/>
        </w:rPr>
        <w:t>，审慎做出投资决策。</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9"/>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9"/>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《渤银理财财收有略系列固定收益类一年封闭式理财产品2026年181号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6"/>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：渤银理财财收有略系列固定收益类一年封闭式理财产品2026年181号</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CSFB1Y26181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渤银理财财收有略一年2026年181号A款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渤银理财财收有略一年2026年181号B款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渤银理财财收有略一年2026年181号C款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渤银理财财收有略一年2026年181号D款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渤银理财财收有略一年2026年181号E款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渤银理财财收有略一年2026年181号F款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CSFB1Y26181A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CSFB1Y26181B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CSFB1Y26181C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CSFB1Y26181D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CSFB1Y26181E</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CSFB1Y26181F</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lang w:eastAsia="zh-CN"/>
              </w:rPr>
              <w:t>Z7008426000641</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b/>
                <w:bCs/>
                <w:sz w:val="24"/>
                <w:szCs w:val="24"/>
                <w:highlight w:val="none"/>
              </w:rPr>
              <w:t>固定收益类</w:t>
            </w:r>
            <w:r>
              <w:rPr>
                <w:rFonts w:hint="eastAsia" w:ascii="宋体" w:hAnsi="宋体" w:eastAsia="宋体"/>
                <w:sz w:val="24"/>
                <w:szCs w:val="24"/>
                <w:highlight w:val="none"/>
                <w:lang w:eastAsia="zh-CN"/>
              </w:rPr>
              <w:t>（</w:t>
            </w:r>
            <w:r>
              <w:rPr>
                <w:rFonts w:hint="eastAsia" w:ascii="宋体" w:hAnsi="宋体" w:eastAsia="宋体" w:cstheme="minorBidi"/>
                <w:b w:val="0"/>
                <w:bCs w:val="0"/>
                <w:i w:val="0"/>
                <w:iCs w:val="0"/>
                <w:caps w:val="0"/>
                <w:spacing w:val="0"/>
                <w:kern w:val="2"/>
                <w:sz w:val="24"/>
                <w:szCs w:val="24"/>
                <w:highlight w:val="none"/>
                <w:lang w:val="en-US" w:eastAsia="zh-CN" w:bidi="ar"/>
              </w:rPr>
              <w:t>固定收益类产品并非指收益绝对固定，而是指产品主要投资于具有固定收益特征的资产。</w:t>
            </w:r>
            <w:r>
              <w:rPr>
                <w:rFonts w:ascii="宋体" w:hAnsi="宋体" w:eastAsia="宋体"/>
                <w:sz w:val="24"/>
                <w:szCs w:val="24"/>
                <w:highlight w:val="none"/>
              </w:rPr>
              <w:t>投资者</w:t>
            </w:r>
            <w:r>
              <w:rPr>
                <w:rFonts w:hint="eastAsia" w:ascii="宋体" w:hAnsi="宋体" w:eastAsia="宋体" w:cstheme="minorBidi"/>
                <w:b w:val="0"/>
                <w:bCs w:val="0"/>
                <w:i w:val="0"/>
                <w:iCs w:val="0"/>
                <w:caps w:val="0"/>
                <w:spacing w:val="0"/>
                <w:kern w:val="2"/>
                <w:sz w:val="24"/>
                <w:szCs w:val="24"/>
                <w:highlight w:val="none"/>
                <w:lang w:val="en-US" w:eastAsia="zh-CN" w:bidi="ar"/>
              </w:rPr>
              <w:t>需理解产品风险，根据自身风险承受能力选择，并注意市场波动对收益的影响</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：渤海银行股份有限公司、苏州银行股份有限公司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兴业银行股份有限公司，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兴业银行股份有限公司、苏州银行股份有限公司、日照银行股份有限公司、盛京银行股份有限公司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苏州银行股份有限公司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吉林银行股份有限公司、九江银行股份有限公司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color w:val="auto"/>
                <w:sz w:val="24"/>
                <w:szCs w:val="24"/>
                <w:highlight w:val="none"/>
                <w:lang w:val="en-US" w:eastAsia="zh-CN"/>
              </w:rPr>
              <w:t>本产品允许单一投资者持有份额超过本产品总份额50%。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2026年7月8日9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2026年7月15日17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2026年7月16日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2026年7月16日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2027年8月12日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392</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2.33%</w:t>
            </w:r>
            <w:r>
              <w:rPr>
                <w:rFonts w:hint="eastAsia" w:ascii="宋体" w:hAnsi="宋体" w:eastAsia="宋体"/>
                <w:b/>
                <w:bCs/>
                <w:sz w:val="24"/>
                <w:szCs w:val="24"/>
                <w:highlight w:val="none"/>
              </w:rPr>
              <w:t>】</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券类资产仓位90%-100%，权益类资产仓位0-10%为例，根据当前市场环境下大类资产配置比例及大类资产收益情况，考虑杠杆和费率等因素，并结合产品投资策略进行测算，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业绩比较基准不是预期收益率，不代表产品的未来表现和实际收益，不构成对产品收益的承诺；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超额业绩报酬计提基准</w:t>
            </w:r>
          </w:p>
        </w:tc>
        <w:tc>
          <w:tcPr>
            <w:tcW w:w="6030" w:type="dxa"/>
            <w:vAlign w:val="center"/>
          </w:tcPr>
          <w:p>
            <w:pPr>
              <w:numPr>
                <w:ilvl w:val="0"/>
                <w:numId w:val="6"/>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0.08</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lang w:eastAsia="zh-CN"/>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D</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b/>
                <w:bCs/>
                <w:sz w:val="24"/>
                <w:szCs w:val="24"/>
                <w:highlight w:val="none"/>
                <w:lang w:eastAsia="zh-CN"/>
              </w:rPr>
              <w:t>。</w:t>
            </w:r>
          </w:p>
          <w:p>
            <w:pPr>
              <w:numPr>
                <w:ilvl w:val="255"/>
                <w:numId w:val="0"/>
              </w:numPr>
              <w:spacing w:line="300" w:lineRule="auto"/>
              <w:outlineLvl w:val="0"/>
              <w:rPr>
                <w:rFonts w:hint="eastAsia" w:ascii="宋体" w:hAnsi="宋体" w:eastAsia="宋体"/>
                <w:b/>
                <w:bCs/>
                <w:sz w:val="24"/>
                <w:szCs w:val="24"/>
                <w:highlight w:val="none"/>
                <w:lang w:eastAsia="zh-CN"/>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b/>
                <w:bCs/>
                <w:sz w:val="24"/>
                <w:szCs w:val="24"/>
                <w:highlight w:val="none"/>
                <w:lang w:eastAsia="zh-CN"/>
              </w:rPr>
              <w:t>。</w:t>
            </w:r>
          </w:p>
          <w:p>
            <w:pPr>
              <w:numPr>
                <w:ilvl w:val="255"/>
                <w:numId w:val="0"/>
              </w:numPr>
              <w:spacing w:line="300" w:lineRule="auto"/>
              <w:outlineLvl w:val="0"/>
              <w:rPr>
                <w:rFonts w:hint="eastAsia" w:ascii="宋体" w:hAnsi="宋体" w:eastAsia="宋体"/>
                <w:b/>
                <w:bCs/>
                <w:sz w:val="24"/>
                <w:szCs w:val="24"/>
                <w:highlight w:val="none"/>
                <w:lang w:eastAsia="zh-CN"/>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F</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0.40</w:t>
            </w:r>
            <w:r>
              <w:rPr>
                <w:rFonts w:hint="eastAsia" w:ascii="宋体" w:hAnsi="宋体" w:eastAsia="宋体"/>
                <w:b/>
                <w:bCs/>
                <w:sz w:val="24"/>
                <w:szCs w:val="24"/>
                <w:highlight w:val="none"/>
              </w:rPr>
              <w:t>】%/年</w:t>
            </w:r>
            <w:r>
              <w:rPr>
                <w:rFonts w:hint="eastAsia" w:ascii="宋体" w:hAnsi="宋体" w:eastAsia="宋体"/>
                <w:b/>
                <w:bCs/>
                <w:sz w:val="24"/>
                <w:szCs w:val="24"/>
                <w:highlight w:val="none"/>
                <w:lang w:eastAsia="zh-CN"/>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0.03</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w:t>
            </w:r>
            <w:r>
              <w:rPr>
                <w:rFonts w:hint="eastAsia" w:ascii="宋体" w:hAnsi="宋体" w:eastAsia="宋体"/>
                <w:b/>
                <w:bCs/>
                <w:sz w:val="24"/>
                <w:szCs w:val="24"/>
                <w:highlight w:val="none"/>
                <w:lang w:val="en-US" w:eastAsia="zh-CN"/>
              </w:rPr>
              <w:t>产品</w:t>
            </w:r>
            <w:r>
              <w:rPr>
                <w:rFonts w:hint="eastAsia" w:ascii="宋体" w:hAnsi="宋体" w:eastAsia="宋体"/>
                <w:b/>
                <w:bCs/>
                <w:sz w:val="24"/>
                <w:szCs w:val="24"/>
                <w:highlight w:val="none"/>
              </w:rPr>
              <w:t>份额净值折算的年化收益率超过超额业绩报酬计提基准，则产品管理人收取超过超额业绩报酬计提基准部分的【</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理财产品实际终止日至资金到账日为终止清算期，清算期内产生的利息（如有）归投资者所有</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adjustRightInd/>
        <w:snapToGrid/>
        <w:spacing w:line="300" w:lineRule="auto"/>
        <w:ind w:firstLine="480" w:firstLineChars="200"/>
        <w:jc w:val="left"/>
        <w:rPr>
          <w:rFonts w:hint="eastAsia" w:ascii="宋体" w:hAnsi="宋体" w:eastAsia="宋体" w:cstheme="minorBidi"/>
          <w:bCs w:val="0"/>
          <w:sz w:val="24"/>
          <w:szCs w:val="24"/>
          <w:highlight w:val="none"/>
        </w:rPr>
      </w:pPr>
      <w:r>
        <w:rPr>
          <w:rFonts w:hint="eastAsia" w:ascii="宋体" w:hAnsi="宋体" w:eastAsia="宋体" w:cstheme="minorBidi"/>
          <w:bCs w:val="0"/>
          <w:sz w:val="24"/>
          <w:szCs w:val="24"/>
          <w:highlight w:val="none"/>
        </w:rPr>
        <w:t>本理财产品可直接或通过资产管理计划、信托计划及基金等资产管理产品间接投资于以下符合监管要求的金融资产和金融工具，包括但不限于：</w:t>
      </w:r>
    </w:p>
    <w:p>
      <w:pPr>
        <w:adjustRightInd/>
        <w:snapToGrid/>
        <w:spacing w:line="300" w:lineRule="auto"/>
        <w:ind w:firstLine="480" w:firstLineChars="200"/>
        <w:jc w:val="left"/>
        <w:rPr>
          <w:rFonts w:hint="eastAsia" w:ascii="宋体" w:hAnsi="宋体" w:eastAsia="宋体" w:cstheme="minorBidi"/>
          <w:bCs w:val="0"/>
          <w:sz w:val="24"/>
          <w:szCs w:val="24"/>
          <w:highlight w:val="none"/>
        </w:rPr>
      </w:pPr>
      <w:r>
        <w:rPr>
          <w:rFonts w:hint="eastAsia" w:ascii="宋体" w:hAnsi="宋体" w:eastAsia="宋体" w:cstheme="minorBidi"/>
          <w:bCs w:val="0"/>
          <w:sz w:val="24"/>
          <w:szCs w:val="24"/>
          <w:highlight w:val="none"/>
          <w:lang w:eastAsia="zh-CN"/>
        </w:rPr>
        <w:t>（</w:t>
      </w:r>
      <w:r>
        <w:rPr>
          <w:rFonts w:hint="eastAsia" w:ascii="宋体" w:hAnsi="宋体" w:eastAsia="宋体" w:cstheme="minorBidi"/>
          <w:bCs w:val="0"/>
          <w:sz w:val="24"/>
          <w:szCs w:val="24"/>
          <w:highlight w:val="none"/>
          <w:lang w:val="en-US" w:eastAsia="zh-CN"/>
        </w:rPr>
        <w:t>1</w:t>
      </w:r>
      <w:r>
        <w:rPr>
          <w:rFonts w:hint="eastAsia" w:ascii="宋体" w:hAnsi="宋体" w:eastAsia="宋体" w:cstheme="minorBidi"/>
          <w:bCs w:val="0"/>
          <w:sz w:val="24"/>
          <w:szCs w:val="24"/>
          <w:highlight w:val="none"/>
          <w:lang w:eastAsia="zh-CN"/>
        </w:rPr>
        <w:t>）</w:t>
      </w:r>
      <w:r>
        <w:rPr>
          <w:rFonts w:hint="eastAsia" w:ascii="宋体" w:hAnsi="宋体" w:eastAsia="宋体" w:cstheme="minorBidi"/>
          <w:bCs w:val="0"/>
          <w:sz w:val="24"/>
          <w:szCs w:val="24"/>
          <w:highlight w:val="none"/>
        </w:rPr>
        <w:t>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theme="minorBidi"/>
          <w:bCs w:val="0"/>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非公开定向债务融资工具(PPN)、二级资本债、债券型基金、债券型基金中基金（FOF），及其他符合监管要求的</w:t>
      </w:r>
      <w:r>
        <w:rPr>
          <w:rFonts w:hint="eastAsia" w:ascii="宋体" w:hAnsi="宋体" w:eastAsia="宋体" w:cstheme="minorBidi"/>
          <w:bCs w:val="0"/>
          <w:sz w:val="24"/>
          <w:szCs w:val="24"/>
          <w:highlight w:val="none"/>
          <w:lang w:val="en-US" w:eastAsia="zh-CN"/>
        </w:rPr>
        <w:t>标准化</w:t>
      </w:r>
      <w:r>
        <w:rPr>
          <w:rFonts w:hint="eastAsia" w:ascii="宋体" w:hAnsi="宋体" w:eastAsia="宋体" w:cstheme="minorBidi"/>
          <w:bCs w:val="0"/>
          <w:sz w:val="24"/>
          <w:szCs w:val="24"/>
          <w:highlight w:val="none"/>
        </w:rPr>
        <w:t>债权类资产</w:t>
      </w:r>
      <w:r>
        <w:rPr>
          <w:rFonts w:hint="eastAsia" w:ascii="宋体" w:hAnsi="宋体" w:eastAsia="宋体" w:cstheme="minorBidi"/>
          <w:b w:val="0"/>
          <w:bCs w:val="0"/>
          <w:sz w:val="24"/>
          <w:szCs w:val="24"/>
          <w:highlight w:val="none"/>
          <w:lang w:eastAsia="zh-CN"/>
        </w:rPr>
        <w:t>（</w:t>
      </w:r>
      <w:r>
        <w:rPr>
          <w:rFonts w:hint="eastAsia" w:ascii="宋体" w:hAnsi="宋体" w:eastAsia="宋体" w:cstheme="minorBidi"/>
          <w:b w:val="0"/>
          <w:bCs w:val="0"/>
          <w:sz w:val="24"/>
          <w:szCs w:val="24"/>
          <w:highlight w:val="none"/>
          <w:lang w:val="en-US" w:eastAsia="zh-CN"/>
        </w:rPr>
        <w:t>包括符合监管要求的各类QDII资产管理产品</w:t>
      </w:r>
      <w:r>
        <w:rPr>
          <w:rFonts w:hint="eastAsia" w:ascii="宋体" w:hAnsi="宋体" w:eastAsia="宋体" w:cstheme="minorBidi"/>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hint="eastAsia" w:ascii="宋体" w:hAnsi="宋体" w:eastAsia="宋体" w:cstheme="minorBidi"/>
          <w:bCs w:val="0"/>
          <w:sz w:val="24"/>
          <w:szCs w:val="24"/>
          <w:highlight w:val="none"/>
        </w:rPr>
        <w:t>权益类资产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权益类</w:t>
      </w:r>
      <w:r>
        <w:rPr>
          <w:rFonts w:hint="eastAsia" w:ascii="宋体" w:hAnsi="宋体" w:eastAsia="宋体"/>
          <w:sz w:val="24"/>
          <w:szCs w:val="24"/>
          <w:highlight w:val="none"/>
          <w:lang w:val="en-US" w:eastAsia="zh-CN"/>
        </w:rPr>
        <w:t>资产主要投资于</w:t>
      </w:r>
      <w:r>
        <w:rPr>
          <w:rFonts w:hint="eastAsia" w:ascii="宋体" w:hAnsi="宋体" w:eastAsia="宋体"/>
          <w:sz w:val="24"/>
          <w:szCs w:val="24"/>
          <w:highlight w:val="none"/>
        </w:rPr>
        <w:t>优先股</w:t>
      </w:r>
      <w:r>
        <w:rPr>
          <w:rFonts w:hint="eastAsia" w:ascii="宋体" w:hAnsi="宋体" w:eastAsia="宋体"/>
          <w:sz w:val="24"/>
          <w:szCs w:val="24"/>
          <w:highlight w:val="none"/>
          <w:lang w:val="en-US" w:eastAsia="zh-CN"/>
        </w:rPr>
        <w:t>及以优先股</w:t>
      </w:r>
      <w:r>
        <w:rPr>
          <w:rFonts w:hint="eastAsia" w:ascii="宋体" w:hAnsi="宋体" w:eastAsia="宋体"/>
          <w:sz w:val="24"/>
          <w:szCs w:val="24"/>
          <w:highlight w:val="none"/>
        </w:rPr>
        <w:t>为</w:t>
      </w:r>
      <w:r>
        <w:rPr>
          <w:rFonts w:hint="eastAsia" w:ascii="宋体" w:hAnsi="宋体" w:eastAsia="宋体"/>
          <w:sz w:val="24"/>
          <w:szCs w:val="24"/>
          <w:highlight w:val="none"/>
          <w:lang w:val="en-US" w:eastAsia="zh-CN"/>
        </w:rPr>
        <w:t>投资标的</w:t>
      </w:r>
      <w:r>
        <w:rPr>
          <w:rFonts w:hint="eastAsia" w:ascii="宋体" w:hAnsi="宋体" w:eastAsia="宋体"/>
          <w:sz w:val="24"/>
          <w:szCs w:val="24"/>
          <w:highlight w:val="none"/>
        </w:rPr>
        <w:t>的公募基金、信托计划、资产管理计划等资产管理产品。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（1）本理财产品投资于债权类资产的比例不低于产品总资产的</w:t>
      </w:r>
      <w:r>
        <w:rPr>
          <w:rFonts w:hint="eastAsia" w:ascii="宋体" w:hAnsi="宋体" w:eastAsia="宋体"/>
          <w:sz w:val="24"/>
          <w:szCs w:val="24"/>
          <w:highlight w:val="none"/>
          <w:lang w:val="en-US" w:eastAsia="zh-CN" w:bidi="ar"/>
        </w:rPr>
        <w:t>9</w:t>
      </w:r>
      <w:r>
        <w:rPr>
          <w:rFonts w:hint="eastAsia" w:ascii="宋体" w:hAnsi="宋体" w:eastAsia="宋体"/>
          <w:sz w:val="24"/>
          <w:szCs w:val="24"/>
          <w:highlight w:val="none"/>
          <w:lang w:bidi="ar"/>
        </w:rPr>
        <w:t>0%；</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（2）本理财产品投资于权益类资产的比例不高于产品总资产的</w:t>
      </w:r>
      <w:r>
        <w:rPr>
          <w:rFonts w:hint="eastAsia" w:ascii="宋体" w:hAnsi="宋体" w:eastAsia="宋体"/>
          <w:sz w:val="24"/>
          <w:szCs w:val="24"/>
          <w:highlight w:val="none"/>
          <w:lang w:val="en-US" w:eastAsia="zh-CN" w:bidi="ar"/>
        </w:rPr>
        <w:t>1</w:t>
      </w:r>
      <w:r>
        <w:rPr>
          <w:rFonts w:hint="eastAsia" w:ascii="宋体" w:hAnsi="宋体" w:eastAsia="宋体"/>
          <w:sz w:val="24"/>
          <w:szCs w:val="24"/>
          <w:highlight w:val="none"/>
          <w:lang w:bidi="ar"/>
        </w:rPr>
        <w:t>0%</w:t>
      </w:r>
      <w:bookmarkStart w:id="2" w:name="_GoBack"/>
      <w:bookmarkEnd w:id="2"/>
      <w:r>
        <w:rPr>
          <w:rFonts w:hint="eastAsia" w:ascii="宋体" w:hAnsi="宋体" w:eastAsia="宋体"/>
          <w:sz w:val="24"/>
          <w:szCs w:val="24"/>
          <w:highlight w:val="none"/>
          <w:lang w:bidi="ar"/>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7"/>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val="en-US" w:eastAsia="zh-CN"/>
        </w:rPr>
        <w:t>2026年7月8日9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2026年7月15日17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cs="宋体"/>
          <w:b/>
          <w:bCs/>
          <w:sz w:val="24"/>
        </w:rPr>
        <w:t>本产品允许单一投资者持有份额超过本产品总份额50%。</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6"/>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w:t>
      </w:r>
      <w:r>
        <w:rPr>
          <w:rFonts w:hint="eastAsia" w:ascii="宋体" w:hAnsi="宋体" w:eastAsia="宋体"/>
          <w:sz w:val="24"/>
          <w:szCs w:val="24"/>
          <w:highlight w:val="none"/>
        </w:rPr>
        <w:t>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超额业绩报酬：管理人收取理财产品超额业绩报酬。理财产品终止日或份额终止日</w:t>
      </w:r>
      <w:r>
        <w:rPr>
          <w:rFonts w:hint="default" w:ascii="宋体" w:hAnsi="宋体" w:eastAsia="宋体"/>
          <w:b/>
          <w:bCs/>
          <w:sz w:val="24"/>
          <w:szCs w:val="24"/>
          <w:highlight w:val="none"/>
          <w:lang w:val="en-US"/>
        </w:rPr>
        <w:t>的前一日</w:t>
      </w:r>
      <w:r>
        <w:rPr>
          <w:rFonts w:hint="eastAsia" w:ascii="宋体" w:hAnsi="宋体" w:eastAsia="宋体"/>
          <w:b/>
          <w:bCs/>
          <w:sz w:val="24"/>
          <w:szCs w:val="24"/>
          <w:highlight w:val="none"/>
        </w:rPr>
        <w:t>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份额终止日</w:t>
      </w:r>
      <w:r>
        <w:rPr>
          <w:rFonts w:hint="default" w:ascii="宋体" w:hAnsi="宋体" w:eastAsia="宋体"/>
          <w:b/>
          <w:bCs/>
          <w:sz w:val="24"/>
          <w:szCs w:val="24"/>
          <w:highlight w:val="none"/>
          <w:lang w:val="en-US"/>
        </w:rPr>
        <w:t>的前一日</w:t>
      </w:r>
      <w:r>
        <w:rPr>
          <w:rFonts w:hint="eastAsia" w:ascii="宋体" w:hAnsi="宋体" w:eastAsia="宋体"/>
          <w:b/>
          <w:bCs/>
          <w:sz w:val="24"/>
          <w:szCs w:val="24"/>
          <w:highlight w:val="none"/>
        </w:rPr>
        <w:t>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r>
        <w:rPr>
          <w:rFonts w:ascii="宋体" w:hAnsi="宋体" w:eastAsia="宋体"/>
          <w:sz w:val="24"/>
          <w:szCs w:val="24"/>
          <w:highlight w:val="none"/>
        </w:rPr>
        <w:t>。</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eastAsia="zh-CN"/>
        </w:rPr>
        <w:t>渤海银行股份有限公司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兴业银行股份有限公司，住所：福州市台江区江滨中大道398号兴业银行大厦，客户服务热线：95561。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兴业银行股份有限公司，住所：福州市台江区江滨中大道398号兴业银行大厦，客户服务热线：95561。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日照银行股份有限公司，住所：山东省日照市烟台路197号，客户服务热线：400-68-96588。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盛京银行股份有限公司，住所：沈阳市沈河区北站路109号，客户服务热线：95337。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cs="宋体"/>
          <w:sz w:val="24"/>
          <w:szCs w:val="24"/>
          <w:highlight w:val="none"/>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九江银行股份有限公司，住所：江西省九江市濂溪区长虹大道619号，客户服务热线：95316。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cs="宋体"/>
          <w:b w:val="0"/>
          <w:i w:val="0"/>
          <w:color w:val="auto"/>
          <w:sz w:val="24"/>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（三）争议的解决</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双方因履行本理财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或与本理财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有关的活动而产生的一切争议，应首先本着诚实信用原则通过友好协商解决；不能协商解决的，由产品管理人所在地人民法院诉讼解决。诉讼期间，未涉及争议的条款仍需履行。本理财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适用中华人民共和国法律。（为本理财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tabs>
        <w:tab w:val="clear" w:pos="4153"/>
      </w:tabs>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343D1773"/>
    <w:multiLevelType w:val="singleLevel"/>
    <w:tmpl w:val="343D1773"/>
    <w:lvl w:ilvl="0" w:tentative="0">
      <w:start w:val="1"/>
      <w:numFmt w:val="decimal"/>
      <w:lvlText w:val="%1."/>
      <w:lvlJc w:val="left"/>
      <w:pPr>
        <w:tabs>
          <w:tab w:val="left" w:pos="312"/>
        </w:tabs>
      </w:p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5E345F3F"/>
    <w:multiLevelType w:val="singleLevel"/>
    <w:tmpl w:val="5E345F3F"/>
    <w:lvl w:ilvl="0" w:tentative="0">
      <w:start w:val="1"/>
      <w:numFmt w:val="decimal"/>
      <w:lvlText w:val="%1."/>
      <w:lvlJc w:val="left"/>
      <w:pPr>
        <w:tabs>
          <w:tab w:val="left" w:pos="312"/>
        </w:tabs>
      </w:p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5"/>
  </w:num>
  <w:num w:numId="4">
    <w:abstractNumId w:val="8"/>
  </w:num>
  <w:num w:numId="5">
    <w:abstractNumId w:val="7"/>
  </w:num>
  <w:num w:numId="6">
    <w:abstractNumId w:val="4"/>
  </w:num>
  <w:num w:numId="7">
    <w:abstractNumId w:val="0"/>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652B49"/>
    <w:rsid w:val="2E4B00D6"/>
    <w:rsid w:val="399E3998"/>
    <w:rsid w:val="4A7B0EA1"/>
    <w:rsid w:val="58023480"/>
    <w:rsid w:val="5B4F2276"/>
    <w:rsid w:val="67F3797C"/>
    <w:rsid w:val="6A554C60"/>
    <w:rsid w:val="6C877222"/>
    <w:rsid w:val="6F652B49"/>
    <w:rsid w:val="779075F8"/>
    <w:rsid w:val="7A1050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3" w:lineRule="auto"/>
      <w:outlineLvl w:val="1"/>
    </w:pPr>
    <w:rPr>
      <w:rFonts w:ascii="Arial" w:hAnsi="Arial" w:eastAsia="黑体" w:cs="Times New Roman"/>
      <w:b/>
      <w:sz w:val="32"/>
      <w:szCs w:val="20"/>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9">
    <w:name w:val="List Paragraph"/>
    <w:basedOn w:val="1"/>
    <w:semiHidden/>
    <w:unhideWhenUsed/>
    <w:qFormat/>
    <w:uiPriority w:val="99"/>
    <w:pPr>
      <w:ind w:firstLine="420" w:firstLineChars="200"/>
    </w:pPr>
  </w:style>
  <w:style w:type="paragraph" w:customStyle="1" w:styleId="10">
    <w:name w:val="列表段落1"/>
    <w:basedOn w:val="1"/>
    <w:qFormat/>
    <w:uiPriority w:val="0"/>
    <w:pPr>
      <w:ind w:firstLine="420" w:firstLineChars="200"/>
    </w:pPr>
    <w:rPr>
      <w:rFonts w:ascii="Times New Roman" w:hAnsi="Times New Roman" w:eastAsia="宋体" w:cs="Times New Roman"/>
      <w:szCs w:val="20"/>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2026-05-27T00:48:00Z</dcterms:created>
  <cp:lastModifiedBy>shuo.lian</cp:lastModifiedBy>
  <dcterms:modified xsi:type="dcterms:W3CDTF">2026-07-03T09:32:33Z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5FEA82FFEC914A43BBDAE1A1857BBF60</vt:lpwstr>
  </property>
</Properties>
</file>