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2" w:name="_GoBack"/>
      <w:bookmarkEnd w:id="2"/>
      <w:r>
        <w:rPr>
          <w:rFonts w:hint="eastAsia" w:ascii="华文仿宋" w:hAnsi="华文仿宋" w:eastAsia="华文仿宋" w:cs="华文仿宋"/>
          <w:b/>
          <w:bCs/>
          <w:sz w:val="32"/>
          <w:szCs w:val="32"/>
          <w:highlight w:val="none"/>
          <w:lang w:eastAsia="zh-CN"/>
        </w:rPr>
        <w:t>渤银理财财收有略系列固定收益类一年封闭式理财产品2026年184号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1"/>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1"/>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1"/>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1"/>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1"/>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1"/>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1"/>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1"/>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1"/>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《渤银理财财收有略系列固定收益类一年封闭式理财产品2026年184号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计提基准：指管理人收取超额</w:t>
      </w:r>
      <w:r>
        <w:rPr>
          <w:rFonts w:hint="eastAsia" w:ascii="宋体" w:hAnsi="宋体" w:eastAsia="宋体"/>
          <w:sz w:val="24"/>
          <w:szCs w:val="24"/>
          <w:highlight w:val="none"/>
          <w:lang w:eastAsia="zh-CN"/>
        </w:rPr>
        <w:t>管理费、</w:t>
      </w:r>
      <w:r>
        <w:rPr>
          <w:rFonts w:hint="eastAsia" w:ascii="宋体" w:hAnsi="宋体" w:eastAsia="宋体"/>
          <w:sz w:val="24"/>
          <w:szCs w:val="24"/>
          <w:highlight w:val="none"/>
          <w:lang w:val="en-US" w:eastAsia="zh-CN"/>
        </w:rPr>
        <w:t>销售服务机构收取浮动销售费</w:t>
      </w:r>
      <w:r>
        <w:rPr>
          <w:rFonts w:ascii="宋体" w:hAnsi="宋体" w:eastAsia="宋体"/>
          <w:sz w:val="24"/>
          <w:szCs w:val="24"/>
          <w:highlight w:val="none"/>
        </w:rPr>
        <w:t>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ascii="宋体" w:hAnsi="宋体" w:eastAsia="宋体"/>
          <w:b/>
          <w:bCs/>
          <w:sz w:val="24"/>
          <w:szCs w:val="24"/>
          <w:highlight w:val="none"/>
        </w:rPr>
        <w:t>：指产品管理人依照理财产品销售文件约定规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8.浮动销售</w:t>
      </w:r>
      <w:r>
        <w:rPr>
          <w:rFonts w:hint="eastAsia" w:ascii="宋体" w:hAnsi="宋体" w:eastAsia="宋体"/>
          <w:b/>
          <w:bCs/>
          <w:sz w:val="24"/>
          <w:szCs w:val="24"/>
          <w:highlight w:val="none"/>
          <w:lang w:eastAsia="zh-CN"/>
        </w:rPr>
        <w:t>费</w:t>
      </w:r>
      <w:r>
        <w:rPr>
          <w:rFonts w:ascii="宋体" w:hAnsi="宋体" w:eastAsia="宋体"/>
          <w:b/>
          <w:bCs/>
          <w:sz w:val="24"/>
          <w:szCs w:val="24"/>
          <w:highlight w:val="none"/>
        </w:rPr>
        <w:t>：指产品</w:t>
      </w:r>
      <w:r>
        <w:rPr>
          <w:rFonts w:hint="eastAsia" w:ascii="宋体" w:hAnsi="宋体" w:eastAsia="宋体"/>
          <w:b/>
          <w:bCs/>
          <w:sz w:val="24"/>
          <w:szCs w:val="24"/>
          <w:highlight w:val="none"/>
          <w:lang w:val="en-US" w:eastAsia="zh-CN"/>
        </w:rPr>
        <w:t>销售服务机构</w:t>
      </w:r>
      <w:r>
        <w:rPr>
          <w:rFonts w:ascii="宋体" w:hAnsi="宋体" w:eastAsia="宋体"/>
          <w:b/>
          <w:bCs/>
          <w:sz w:val="24"/>
          <w:szCs w:val="24"/>
          <w:highlight w:val="none"/>
        </w:rPr>
        <w:t>依照理财产品销售文件约定规</w:t>
      </w:r>
      <w:r>
        <w:rPr>
          <w:rFonts w:hint="eastAsia" w:ascii="宋体" w:hAnsi="宋体" w:eastAsia="宋体"/>
          <w:b/>
          <w:bCs/>
          <w:sz w:val="24"/>
          <w:szCs w:val="24"/>
          <w:highlight w:val="none"/>
        </w:rPr>
        <w:t>则收取的浮动性质的</w:t>
      </w:r>
      <w:r>
        <w:rPr>
          <w:rFonts w:hint="eastAsia" w:ascii="宋体" w:hAnsi="宋体" w:eastAsia="宋体"/>
          <w:b/>
          <w:bCs/>
          <w:sz w:val="24"/>
          <w:szCs w:val="24"/>
          <w:highlight w:val="none"/>
          <w:lang w:val="en-US" w:eastAsia="zh-CN"/>
        </w:rPr>
        <w:t>销售</w:t>
      </w:r>
      <w:r>
        <w:rPr>
          <w:rFonts w:hint="eastAsia" w:ascii="宋体" w:hAnsi="宋体" w:eastAsia="宋体"/>
          <w:b/>
          <w:bCs/>
          <w:sz w:val="24"/>
          <w:szCs w:val="24"/>
          <w:highlight w:val="none"/>
        </w:rPr>
        <w:t>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8"/>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Change w:id="0">
          <w:tblGrid>
            <w:gridCol w:w="2365"/>
            <w:gridCol w:w="6030"/>
          </w:tblGrid>
        </w:tblGridChange>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：渤银理财财收有略系列固定收益类一年封闭式理财产品2026年184号</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CSFB1Y26184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sz w:val="24"/>
                <w:szCs w:val="24"/>
                <w:highlight w:val="none"/>
                <w:lang w:eastAsia="zh-CN"/>
              </w:rPr>
              <w:t>榴花甄选尊享1年（2026年第4期）——枣庄银行专属（财收有略固收封闭式）</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CSFB1Y26184</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default" w:ascii="宋体" w:hAnsi="宋体" w:eastAsia="宋体"/>
                <w:sz w:val="24"/>
                <w:szCs w:val="24"/>
                <w:highlight w:val="yellow"/>
              </w:rPr>
            </w:pPr>
            <w:r>
              <w:rPr>
                <w:rFonts w:ascii="宋体" w:hAnsi="宋体" w:eastAsia="宋体" w:cs="宋体"/>
                <w:sz w:val="24"/>
                <w:szCs w:val="24"/>
                <w:highlight w:val="none"/>
              </w:rPr>
              <w:t>Z</w:t>
            </w:r>
            <w:r>
              <w:rPr>
                <w:rFonts w:hint="eastAsia" w:ascii="宋体" w:hAnsi="宋体" w:eastAsia="宋体" w:cs="宋体"/>
                <w:sz w:val="24"/>
                <w:szCs w:val="24"/>
                <w:highlight w:val="none"/>
                <w:lang w:val="en-US" w:eastAsia="zh-CN"/>
              </w:rPr>
              <w:t>7008426000661</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枣庄银行股份有限公司</w:t>
            </w:r>
            <w:r>
              <w:rPr>
                <w:rFonts w:hint="eastAsia" w:ascii="宋体" w:hAnsi="宋体" w:eastAsia="宋体"/>
                <w:sz w:val="24"/>
                <w:szCs w:val="24"/>
                <w:highlight w:val="none"/>
              </w:rPr>
              <w:t>，以下简称“代销机构”</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ind w:left="0" w:firstLine="0" w:firstLineChars="0"/>
              <w:rPr>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7</w:t>
            </w:r>
            <w:r>
              <w:rPr>
                <w:rFonts w:ascii="宋体" w:hAnsi="宋体" w:eastAsia="宋体"/>
                <w:sz w:val="24"/>
                <w:szCs w:val="24"/>
                <w:highlight w:val="none"/>
              </w:rPr>
              <w:t>】月【</w:t>
            </w:r>
            <w:r>
              <w:rPr>
                <w:rFonts w:hint="eastAsia" w:ascii="宋体" w:hAnsi="宋体" w:eastAsia="宋体"/>
                <w:sz w:val="24"/>
                <w:szCs w:val="24"/>
                <w:highlight w:val="none"/>
                <w:lang w:val="en-US" w:eastAsia="zh-CN"/>
              </w:rPr>
              <w:t>27</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378</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权类资产仓位80%-100%，组合杠杆率80%-140%为例，根据当前市场环境下资产收益情况，考虑税费等因素，综合确定本产品业绩比较基准。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超额计提基准</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不收取</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收取浮动销售费</w:t>
            </w:r>
            <w:r>
              <w:rPr>
                <w:rFonts w:ascii="宋体" w:hAnsi="宋体" w:eastAsia="宋体"/>
                <w:b/>
                <w:bCs/>
                <w:sz w:val="24"/>
                <w:szCs w:val="24"/>
                <w:highlight w:val="none"/>
              </w:rPr>
              <w:t>,</w:t>
            </w:r>
            <w:r>
              <w:rPr>
                <w:rFonts w:hint="eastAsia" w:ascii="宋体" w:hAnsi="宋体" w:eastAsia="宋体"/>
                <w:b/>
                <w:bCs/>
                <w:sz w:val="24"/>
                <w:szCs w:val="24"/>
                <w:highlight w:val="none"/>
              </w:rPr>
              <w:t>超额计提基准为：年化【</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销售服务机构收取浮动销售费</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:管理人不收取超额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numPr>
                <w:ilvl w:val="0"/>
                <w:numId w:val="6"/>
              </w:numPr>
              <w:spacing w:line="300" w:lineRule="auto"/>
              <w:rPr>
                <w:rFonts w:hint="eastAsia" w:ascii="宋体" w:hAnsi="宋体" w:eastAsia="宋体"/>
                <w:b/>
                <w:bCs/>
                <w:sz w:val="24"/>
                <w:szCs w:val="24"/>
                <w:highlight w:val="none"/>
                <w:lang w:val="en-US" w:eastAsia="zh-CN"/>
              </w:rPr>
            </w:pPr>
            <w:r>
              <w:rPr>
                <w:rFonts w:hint="eastAsia" w:ascii="宋体" w:hAnsi="宋体" w:eastAsia="宋体"/>
                <w:b/>
                <w:bCs/>
                <w:sz w:val="24"/>
                <w:szCs w:val="24"/>
                <w:highlight w:val="none"/>
                <w:lang w:val="en-US" w:eastAsia="zh-CN"/>
              </w:rPr>
              <w:t>浮动销售费：</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在</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计提日，若</w:t>
            </w:r>
            <w:r>
              <w:rPr>
                <w:rFonts w:hint="eastAsia" w:ascii="宋体" w:hAnsi="宋体" w:eastAsia="宋体"/>
                <w:b/>
                <w:bCs/>
                <w:sz w:val="24"/>
                <w:szCs w:val="24"/>
                <w:highlight w:val="none"/>
                <w:lang w:val="en-US" w:eastAsia="zh-CN"/>
              </w:rPr>
              <w:t>产品</w:t>
            </w:r>
            <w:r>
              <w:rPr>
                <w:rFonts w:hint="eastAsia" w:ascii="宋体" w:hAnsi="宋体" w:eastAsia="宋体"/>
                <w:b/>
                <w:bCs/>
                <w:sz w:val="24"/>
                <w:szCs w:val="24"/>
                <w:highlight w:val="none"/>
              </w:rPr>
              <w:t>的份额净值折算的年化收益率超过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计提基准，则产品</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计提基准部分的【</w:t>
            </w:r>
            <w:r>
              <w:rPr>
                <w:rFonts w:hint="eastAsia" w:ascii="宋体" w:hAnsi="宋体" w:eastAsia="宋体"/>
                <w:b/>
                <w:bCs/>
                <w:sz w:val="24"/>
                <w:szCs w:val="24"/>
                <w:highlight w:val="none"/>
                <w:lang w:val="en-US" w:eastAsia="zh-CN"/>
              </w:rPr>
              <w:t>90</w:t>
            </w:r>
            <w:r>
              <w:rPr>
                <w:rFonts w:hint="eastAsia" w:ascii="宋体" w:hAnsi="宋体" w:eastAsia="宋体"/>
                <w:b/>
                <w:bCs/>
                <w:sz w:val="24"/>
                <w:szCs w:val="24"/>
                <w:highlight w:val="none"/>
              </w:rPr>
              <w:t>%】为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hint="eastAsia" w:ascii="宋体" w:hAnsi="宋体" w:eastAsia="宋体"/>
                <w:b/>
                <w:bCs/>
                <w:sz w:val="24"/>
                <w:szCs w:val="24"/>
                <w:highlight w:val="none"/>
              </w:rPr>
              <w:t>.其他（如有）：除理财产品所承担的固定管理费、托管费、销售服务费、超额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w:t>
            </w:r>
            <w:r>
              <w:rPr>
                <w:rFonts w:hint="eastAsia"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vAlign w:val="top"/>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vAlign w:val="top"/>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vAlign w:val="top"/>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vAlign w:val="top"/>
          </w:tcPr>
          <w:p>
            <w:pPr>
              <w:spacing w:line="300" w:lineRule="auto"/>
              <w:jc w:val="center"/>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7"/>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3.</w:t>
      </w:r>
      <w:r>
        <w:rPr>
          <w:rFonts w:hint="eastAsia" w:ascii="宋体" w:hAnsi="宋体" w:eastAsia="宋体"/>
          <w:b/>
          <w:bCs/>
          <w:sz w:val="24"/>
          <w:szCs w:val="24"/>
          <w:highlight w:val="none"/>
        </w:rPr>
        <w:t>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8"/>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，托管人收取的托管费，销售服务机构收取的销售服务费</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收取理财产品</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。理财产品终止日的前一日为计提评价日，</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年化的名义份额净值收益率超过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计提基准时，计提超出部分的</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9</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lang w:val="en-US" w:eastAsia="zh-CN"/>
        </w:rPr>
        <w:t>】</w:t>
      </w:r>
      <w:r>
        <w:rPr>
          <w:rFonts w:ascii="宋体" w:hAnsi="宋体" w:eastAsia="宋体"/>
          <w:b/>
          <w:bCs/>
          <w:sz w:val="24"/>
          <w:szCs w:val="24"/>
          <w:highlight w:val="none"/>
        </w:rPr>
        <w:t>%</w:t>
      </w:r>
      <w:r>
        <w:rPr>
          <w:rFonts w:hint="eastAsia" w:ascii="宋体" w:hAnsi="宋体" w:eastAsia="宋体"/>
          <w:b/>
          <w:bCs/>
          <w:sz w:val="24"/>
          <w:szCs w:val="24"/>
          <w:highlight w:val="none"/>
        </w:rPr>
        <w:t>作为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计提评价日应计提的</w:t>
      </w:r>
      <w:r>
        <w:rPr>
          <w:rFonts w:hint="eastAsia" w:ascii="宋体" w:hAnsi="宋体" w:eastAsia="宋体"/>
          <w:b/>
          <w:bCs/>
          <w:sz w:val="24"/>
          <w:szCs w:val="24"/>
          <w:highlight w:val="none"/>
          <w:lang w:val="en-US" w:eastAsia="zh-CN"/>
        </w:rPr>
        <w:t>浮动销售费</w:t>
      </w:r>
      <w:r>
        <w:rPr>
          <w:rFonts w:ascii="宋体" w:hAnsi="宋体" w:eastAsia="宋体"/>
          <w:b/>
          <w:bCs/>
          <w:sz w:val="24"/>
          <w:szCs w:val="24"/>
          <w:highlight w:val="none"/>
        </w:rPr>
        <w:t>=(</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9</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lang w:val="en-US" w:eastAsia="zh-CN"/>
        </w:rPr>
        <w:t>】</w:t>
      </w:r>
      <w:r>
        <w:rPr>
          <w:rFonts w:ascii="宋体" w:hAnsi="宋体" w:eastAsia="宋体"/>
          <w:b/>
          <w:bCs/>
          <w:sz w:val="24"/>
          <w:szCs w:val="24"/>
          <w:highlight w:val="none"/>
        </w:rPr>
        <w:t>%</w:t>
      </w:r>
      <w:r>
        <w:rPr>
          <w:rFonts w:hint="eastAsia" w:ascii="宋体" w:hAnsi="宋体" w:eastAsia="宋体"/>
          <w:b/>
          <w:bCs/>
          <w:sz w:val="24"/>
          <w:szCs w:val="24"/>
          <w:highlight w:val="none"/>
        </w:rPr>
        <w:t>，其中，名义份额净值收益率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产品单位份额发行价格）÷产品单位份额发行价格。区间天数是指理财产品成立日（含），截止到计提评价日当天（含）的实际天数。理财产品累计份额净值</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资产净值</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累计单位分红金额。</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highlight w:val="none"/>
        </w:rPr>
        <w:t>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w:t>
      </w:r>
      <w:r>
        <w:rPr>
          <w:rFonts w:hint="eastAsia" w:ascii="宋体" w:hAnsi="宋体" w:eastAsia="宋体"/>
          <w:b/>
          <w:bCs/>
          <w:sz w:val="24"/>
          <w:szCs w:val="24"/>
          <w:highlight w:val="none"/>
          <w:lang w:val="en-US" w:eastAsia="zh-CN"/>
        </w:rPr>
        <w:t>估值</w:t>
      </w:r>
      <w:r>
        <w:rPr>
          <w:rFonts w:hint="eastAsia" w:ascii="宋体" w:hAnsi="宋体" w:eastAsia="宋体"/>
          <w:b/>
          <w:bCs/>
          <w:sz w:val="24"/>
          <w:szCs w:val="24"/>
          <w:highlight w:val="none"/>
        </w:rPr>
        <w:t>日视作计提评价日，并按照产品说明书约定的计算方法暂估计提，用于产品估值核算，投资者需知悉，管理人对外披露的净值为暂估计提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后的结果，但仅以本理财产品终止日的前一日确认计提的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天津市海河东路218号渤海银行大厦</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sz w:val="24"/>
          <w:szCs w:val="24"/>
          <w:highlight w:val="none"/>
          <w:lang w:val="en-US" w:eastAsia="zh-CN"/>
        </w:rPr>
        <w:t>枣庄银行股份有限公司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住所：山东省枣庄市薛城区光明大道1666号</w:t>
      </w:r>
      <w:r>
        <w:rPr>
          <w:rFonts w:hint="eastAsia" w:ascii="宋体" w:hAnsi="宋体" w:eastAsia="宋体"/>
          <w:sz w:val="24"/>
          <w:szCs w:val="24"/>
          <w:highlight w:val="none"/>
        </w:rPr>
        <w:t>，客户服务热线：</w:t>
      </w:r>
      <w:r>
        <w:rPr>
          <w:rFonts w:hint="default" w:ascii="宋体" w:hAnsi="宋体" w:eastAsia="宋体"/>
          <w:sz w:val="24"/>
          <w:szCs w:val="24"/>
          <w:highlight w:val="none"/>
          <w:lang w:val="en-US"/>
        </w:rPr>
        <w:t>400-81-96588</w:t>
      </w:r>
      <w:r>
        <w:rPr>
          <w:rFonts w:hint="eastAsia" w:ascii="宋体" w:hAnsi="宋体" w:eastAsia="宋体"/>
          <w:sz w:val="24"/>
          <w:szCs w:val="24"/>
          <w:highlight w:val="none"/>
          <w:lang w:eastAsia="zh-CN"/>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w:t>
      </w:r>
      <w:r>
        <w:rPr>
          <w:rFonts w:hint="eastAsia" w:ascii="宋体" w:hAnsi="宋体" w:eastAsia="宋体"/>
          <w:sz w:val="24"/>
          <w:szCs w:val="24"/>
          <w:highlight w:val="none"/>
          <w:lang w:eastAsia="zh-CN"/>
        </w:rPr>
        <w:t>6</w:t>
      </w:r>
      <w:r>
        <w:rPr>
          <w:rFonts w:hint="eastAsia" w:ascii="宋体" w:hAnsi="宋体" w:eastAsia="宋体"/>
          <w:sz w:val="24"/>
          <w:szCs w:val="24"/>
          <w:highlight w:val="none"/>
          <w:lang w:val="en-US" w:eastAsia="zh-CN"/>
        </w:rPr>
        <w:t>0</w:t>
      </w:r>
      <w:r>
        <w:rPr>
          <w:rFonts w:ascii="宋体" w:hAnsi="宋体" w:eastAsia="宋体"/>
          <w:sz w:val="24"/>
          <w:szCs w:val="24"/>
          <w:highlight w:val="none"/>
        </w:rPr>
        <w:t>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FFD60F38"/>
    <w:multiLevelType w:val="singleLevel"/>
    <w:tmpl w:val="FFD60F38"/>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2"/>
  </w:num>
  <w:num w:numId="7">
    <w:abstractNumId w:val="0"/>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165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71587"/>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7446FF"/>
    <w:rsid w:val="018E0242"/>
    <w:rsid w:val="01CC68D5"/>
    <w:rsid w:val="01FE3350"/>
    <w:rsid w:val="01FE50BC"/>
    <w:rsid w:val="02300265"/>
    <w:rsid w:val="02377367"/>
    <w:rsid w:val="0240285E"/>
    <w:rsid w:val="02536EB3"/>
    <w:rsid w:val="027628C1"/>
    <w:rsid w:val="02CD4500"/>
    <w:rsid w:val="02E65CAB"/>
    <w:rsid w:val="03136847"/>
    <w:rsid w:val="032125FF"/>
    <w:rsid w:val="032E18D0"/>
    <w:rsid w:val="033011B9"/>
    <w:rsid w:val="03542B62"/>
    <w:rsid w:val="0374404F"/>
    <w:rsid w:val="03993696"/>
    <w:rsid w:val="03A34738"/>
    <w:rsid w:val="03D6609D"/>
    <w:rsid w:val="041C0CB1"/>
    <w:rsid w:val="04A03F76"/>
    <w:rsid w:val="04E93371"/>
    <w:rsid w:val="05181349"/>
    <w:rsid w:val="055B7332"/>
    <w:rsid w:val="056A798D"/>
    <w:rsid w:val="056F50C1"/>
    <w:rsid w:val="05830A99"/>
    <w:rsid w:val="059A230B"/>
    <w:rsid w:val="05AF7B68"/>
    <w:rsid w:val="05BE29A4"/>
    <w:rsid w:val="05F00BCD"/>
    <w:rsid w:val="06035414"/>
    <w:rsid w:val="06040F9A"/>
    <w:rsid w:val="06134B6E"/>
    <w:rsid w:val="06170810"/>
    <w:rsid w:val="0622594A"/>
    <w:rsid w:val="062B4B0A"/>
    <w:rsid w:val="063C3FE7"/>
    <w:rsid w:val="066B5F00"/>
    <w:rsid w:val="0675224B"/>
    <w:rsid w:val="067B28EF"/>
    <w:rsid w:val="067E3EB5"/>
    <w:rsid w:val="06C47150"/>
    <w:rsid w:val="06CD4B74"/>
    <w:rsid w:val="06F46394"/>
    <w:rsid w:val="072314C0"/>
    <w:rsid w:val="074D4BD8"/>
    <w:rsid w:val="077547A1"/>
    <w:rsid w:val="078411C8"/>
    <w:rsid w:val="079E00C6"/>
    <w:rsid w:val="07A42E2C"/>
    <w:rsid w:val="07B363A1"/>
    <w:rsid w:val="07BE01B5"/>
    <w:rsid w:val="07EC3E77"/>
    <w:rsid w:val="07ED7261"/>
    <w:rsid w:val="084E2DE9"/>
    <w:rsid w:val="087D641E"/>
    <w:rsid w:val="08A07369"/>
    <w:rsid w:val="08D67DE6"/>
    <w:rsid w:val="091B36AE"/>
    <w:rsid w:val="092E5940"/>
    <w:rsid w:val="097363F7"/>
    <w:rsid w:val="09744787"/>
    <w:rsid w:val="09760420"/>
    <w:rsid w:val="098C148C"/>
    <w:rsid w:val="09EA1F2A"/>
    <w:rsid w:val="0A0134D2"/>
    <w:rsid w:val="0A2850F6"/>
    <w:rsid w:val="0A4A3AE2"/>
    <w:rsid w:val="0A6B190B"/>
    <w:rsid w:val="0A9C5B25"/>
    <w:rsid w:val="0AC35E88"/>
    <w:rsid w:val="0B3B3C49"/>
    <w:rsid w:val="0B552CB2"/>
    <w:rsid w:val="0B66661D"/>
    <w:rsid w:val="0B7877C8"/>
    <w:rsid w:val="0B8F4228"/>
    <w:rsid w:val="0BC62F1C"/>
    <w:rsid w:val="0BE97A81"/>
    <w:rsid w:val="0C576560"/>
    <w:rsid w:val="0C933759"/>
    <w:rsid w:val="0CB3034F"/>
    <w:rsid w:val="0CD90C90"/>
    <w:rsid w:val="0CEA7A5E"/>
    <w:rsid w:val="0CFA7766"/>
    <w:rsid w:val="0D5C13CD"/>
    <w:rsid w:val="0D9E5BE6"/>
    <w:rsid w:val="0DAF2FB0"/>
    <w:rsid w:val="0DE03441"/>
    <w:rsid w:val="0ECC0D8A"/>
    <w:rsid w:val="0EE70D61"/>
    <w:rsid w:val="0EFE798E"/>
    <w:rsid w:val="0F6012E0"/>
    <w:rsid w:val="0F631318"/>
    <w:rsid w:val="0FA5251B"/>
    <w:rsid w:val="0FB60F8D"/>
    <w:rsid w:val="0FB8513C"/>
    <w:rsid w:val="0FBA092F"/>
    <w:rsid w:val="0FBC7FE4"/>
    <w:rsid w:val="10115E69"/>
    <w:rsid w:val="101211F8"/>
    <w:rsid w:val="103E6C0E"/>
    <w:rsid w:val="106B20EB"/>
    <w:rsid w:val="108D4479"/>
    <w:rsid w:val="10AD75EF"/>
    <w:rsid w:val="10F42301"/>
    <w:rsid w:val="11065D2C"/>
    <w:rsid w:val="1150266C"/>
    <w:rsid w:val="118D5786"/>
    <w:rsid w:val="11D26A85"/>
    <w:rsid w:val="12527021"/>
    <w:rsid w:val="126A20AC"/>
    <w:rsid w:val="12907E1F"/>
    <w:rsid w:val="12B0422E"/>
    <w:rsid w:val="12D07CBD"/>
    <w:rsid w:val="12F03A8D"/>
    <w:rsid w:val="12FB1F1C"/>
    <w:rsid w:val="137230C9"/>
    <w:rsid w:val="137B6010"/>
    <w:rsid w:val="13CD4BF1"/>
    <w:rsid w:val="13F34CA7"/>
    <w:rsid w:val="14087139"/>
    <w:rsid w:val="14391C5C"/>
    <w:rsid w:val="14694151"/>
    <w:rsid w:val="14864269"/>
    <w:rsid w:val="149013EC"/>
    <w:rsid w:val="14D0385F"/>
    <w:rsid w:val="152A2FC9"/>
    <w:rsid w:val="152E38AF"/>
    <w:rsid w:val="153D6DEC"/>
    <w:rsid w:val="159E5897"/>
    <w:rsid w:val="15EF4C2A"/>
    <w:rsid w:val="16030202"/>
    <w:rsid w:val="16126D17"/>
    <w:rsid w:val="161271C4"/>
    <w:rsid w:val="16155210"/>
    <w:rsid w:val="1617420C"/>
    <w:rsid w:val="163070EE"/>
    <w:rsid w:val="16362C2D"/>
    <w:rsid w:val="164A5F12"/>
    <w:rsid w:val="167A67DF"/>
    <w:rsid w:val="169D49D1"/>
    <w:rsid w:val="16F53929"/>
    <w:rsid w:val="172321ED"/>
    <w:rsid w:val="176F4079"/>
    <w:rsid w:val="177F4193"/>
    <w:rsid w:val="179767D4"/>
    <w:rsid w:val="184A069F"/>
    <w:rsid w:val="186E5D8B"/>
    <w:rsid w:val="188075F1"/>
    <w:rsid w:val="18BC72C8"/>
    <w:rsid w:val="18F60A16"/>
    <w:rsid w:val="19406BCA"/>
    <w:rsid w:val="194A19B6"/>
    <w:rsid w:val="19CE54BD"/>
    <w:rsid w:val="19F81BC6"/>
    <w:rsid w:val="1A2F0525"/>
    <w:rsid w:val="1A5B3DAB"/>
    <w:rsid w:val="1AF12911"/>
    <w:rsid w:val="1B4936D1"/>
    <w:rsid w:val="1BA71B66"/>
    <w:rsid w:val="1C2C60FF"/>
    <w:rsid w:val="1C3950EF"/>
    <w:rsid w:val="1C516DE1"/>
    <w:rsid w:val="1C9F368B"/>
    <w:rsid w:val="1CDA00B0"/>
    <w:rsid w:val="1D1539F9"/>
    <w:rsid w:val="1D3E52D1"/>
    <w:rsid w:val="1D3F2331"/>
    <w:rsid w:val="1D60611F"/>
    <w:rsid w:val="1D6B54AE"/>
    <w:rsid w:val="1DDD42E3"/>
    <w:rsid w:val="1DE47FE4"/>
    <w:rsid w:val="1E030DC8"/>
    <w:rsid w:val="1E352383"/>
    <w:rsid w:val="1E413716"/>
    <w:rsid w:val="1E4D0380"/>
    <w:rsid w:val="1E521BF4"/>
    <w:rsid w:val="1E7F4E7D"/>
    <w:rsid w:val="1EA508C9"/>
    <w:rsid w:val="1EBD2500"/>
    <w:rsid w:val="1EC134B1"/>
    <w:rsid w:val="1F472A93"/>
    <w:rsid w:val="1FD51345"/>
    <w:rsid w:val="1FF47788"/>
    <w:rsid w:val="2060339D"/>
    <w:rsid w:val="206904BF"/>
    <w:rsid w:val="20A16DFA"/>
    <w:rsid w:val="210B020D"/>
    <w:rsid w:val="21264EDF"/>
    <w:rsid w:val="21637056"/>
    <w:rsid w:val="218C3503"/>
    <w:rsid w:val="21A842C7"/>
    <w:rsid w:val="21B948C1"/>
    <w:rsid w:val="21C959D5"/>
    <w:rsid w:val="21EB48C3"/>
    <w:rsid w:val="223A7063"/>
    <w:rsid w:val="22405BA0"/>
    <w:rsid w:val="2252490D"/>
    <w:rsid w:val="227809D0"/>
    <w:rsid w:val="2293195D"/>
    <w:rsid w:val="22D44351"/>
    <w:rsid w:val="2308324D"/>
    <w:rsid w:val="23361551"/>
    <w:rsid w:val="23366094"/>
    <w:rsid w:val="23553444"/>
    <w:rsid w:val="23E33E97"/>
    <w:rsid w:val="23EB7086"/>
    <w:rsid w:val="23EF74E8"/>
    <w:rsid w:val="245A4B65"/>
    <w:rsid w:val="24A3232E"/>
    <w:rsid w:val="24BE3EE7"/>
    <w:rsid w:val="24EE7E46"/>
    <w:rsid w:val="250E59A5"/>
    <w:rsid w:val="2540053D"/>
    <w:rsid w:val="25572EC0"/>
    <w:rsid w:val="25583F8F"/>
    <w:rsid w:val="25942A0A"/>
    <w:rsid w:val="25B2644E"/>
    <w:rsid w:val="25BE790E"/>
    <w:rsid w:val="25CF5599"/>
    <w:rsid w:val="260B5408"/>
    <w:rsid w:val="26596DA2"/>
    <w:rsid w:val="27055672"/>
    <w:rsid w:val="27267C7F"/>
    <w:rsid w:val="276D47EC"/>
    <w:rsid w:val="27A53E9F"/>
    <w:rsid w:val="27AE3794"/>
    <w:rsid w:val="27FB0559"/>
    <w:rsid w:val="28662B70"/>
    <w:rsid w:val="293911B4"/>
    <w:rsid w:val="296C6E71"/>
    <w:rsid w:val="298D1D5A"/>
    <w:rsid w:val="29A55AC6"/>
    <w:rsid w:val="2A102E33"/>
    <w:rsid w:val="2A14318A"/>
    <w:rsid w:val="2A5F6341"/>
    <w:rsid w:val="2A725463"/>
    <w:rsid w:val="2A903B65"/>
    <w:rsid w:val="2AE835BC"/>
    <w:rsid w:val="2B4F3A96"/>
    <w:rsid w:val="2B914FE0"/>
    <w:rsid w:val="2C234E8A"/>
    <w:rsid w:val="2C763105"/>
    <w:rsid w:val="2C871C77"/>
    <w:rsid w:val="2C934F3A"/>
    <w:rsid w:val="2C9D73E4"/>
    <w:rsid w:val="2CA32A24"/>
    <w:rsid w:val="2CD4437F"/>
    <w:rsid w:val="2CDC37A2"/>
    <w:rsid w:val="2CE0580D"/>
    <w:rsid w:val="2CE44176"/>
    <w:rsid w:val="2D261C03"/>
    <w:rsid w:val="2D2E2357"/>
    <w:rsid w:val="2D5C6165"/>
    <w:rsid w:val="2D95431B"/>
    <w:rsid w:val="2D9D23B7"/>
    <w:rsid w:val="2DA53D49"/>
    <w:rsid w:val="2DD97CD7"/>
    <w:rsid w:val="2DDD46D7"/>
    <w:rsid w:val="2DE64940"/>
    <w:rsid w:val="2E0715EA"/>
    <w:rsid w:val="2E710F25"/>
    <w:rsid w:val="2E7C3A67"/>
    <w:rsid w:val="2E7E4C90"/>
    <w:rsid w:val="2F43443B"/>
    <w:rsid w:val="2F495E01"/>
    <w:rsid w:val="2F504A9E"/>
    <w:rsid w:val="2F717EA7"/>
    <w:rsid w:val="2F7C1090"/>
    <w:rsid w:val="2FB0199E"/>
    <w:rsid w:val="2FBF6F5E"/>
    <w:rsid w:val="2FCD19E8"/>
    <w:rsid w:val="2FFF064D"/>
    <w:rsid w:val="3009689E"/>
    <w:rsid w:val="303E1558"/>
    <w:rsid w:val="305B3C7D"/>
    <w:rsid w:val="306A79DD"/>
    <w:rsid w:val="30820253"/>
    <w:rsid w:val="30A0380E"/>
    <w:rsid w:val="30C21AC9"/>
    <w:rsid w:val="30D80A86"/>
    <w:rsid w:val="30E54651"/>
    <w:rsid w:val="313633F3"/>
    <w:rsid w:val="313F2733"/>
    <w:rsid w:val="314544DD"/>
    <w:rsid w:val="314A3D5B"/>
    <w:rsid w:val="316B25B6"/>
    <w:rsid w:val="31855E3D"/>
    <w:rsid w:val="31911E35"/>
    <w:rsid w:val="31927D00"/>
    <w:rsid w:val="319C4144"/>
    <w:rsid w:val="323167BD"/>
    <w:rsid w:val="32536E98"/>
    <w:rsid w:val="32730F66"/>
    <w:rsid w:val="328A2CDC"/>
    <w:rsid w:val="32B80440"/>
    <w:rsid w:val="32D13F91"/>
    <w:rsid w:val="32DE42FD"/>
    <w:rsid w:val="32FD0562"/>
    <w:rsid w:val="3332690B"/>
    <w:rsid w:val="334457E6"/>
    <w:rsid w:val="33954FD7"/>
    <w:rsid w:val="340D04DF"/>
    <w:rsid w:val="3456141F"/>
    <w:rsid w:val="346567A0"/>
    <w:rsid w:val="34982340"/>
    <w:rsid w:val="34BA214A"/>
    <w:rsid w:val="34C14B9E"/>
    <w:rsid w:val="34D82898"/>
    <w:rsid w:val="34D96E0E"/>
    <w:rsid w:val="34DB4FDC"/>
    <w:rsid w:val="34E058A4"/>
    <w:rsid w:val="3517466A"/>
    <w:rsid w:val="3541567F"/>
    <w:rsid w:val="35561891"/>
    <w:rsid w:val="35A14736"/>
    <w:rsid w:val="35C42453"/>
    <w:rsid w:val="360A14DF"/>
    <w:rsid w:val="363A576A"/>
    <w:rsid w:val="3649547D"/>
    <w:rsid w:val="36745C03"/>
    <w:rsid w:val="367C3519"/>
    <w:rsid w:val="36BD4AB8"/>
    <w:rsid w:val="36ED3C18"/>
    <w:rsid w:val="37452552"/>
    <w:rsid w:val="37492D4C"/>
    <w:rsid w:val="375F316C"/>
    <w:rsid w:val="37CF70A9"/>
    <w:rsid w:val="380776D4"/>
    <w:rsid w:val="38B707F1"/>
    <w:rsid w:val="39267194"/>
    <w:rsid w:val="396341AB"/>
    <w:rsid w:val="39897BF7"/>
    <w:rsid w:val="399E1441"/>
    <w:rsid w:val="39CB465D"/>
    <w:rsid w:val="39D22E88"/>
    <w:rsid w:val="39F05D3A"/>
    <w:rsid w:val="3A13730E"/>
    <w:rsid w:val="3A2200A7"/>
    <w:rsid w:val="3A6A4F48"/>
    <w:rsid w:val="3AD16475"/>
    <w:rsid w:val="3AE81C1E"/>
    <w:rsid w:val="3AF74B45"/>
    <w:rsid w:val="3BB6395F"/>
    <w:rsid w:val="3C00186F"/>
    <w:rsid w:val="3C27601C"/>
    <w:rsid w:val="3C387D98"/>
    <w:rsid w:val="3C540446"/>
    <w:rsid w:val="3C580DD8"/>
    <w:rsid w:val="3C936DEB"/>
    <w:rsid w:val="3CBF57D4"/>
    <w:rsid w:val="3CEE5D90"/>
    <w:rsid w:val="3D2A07D7"/>
    <w:rsid w:val="3D8E5F6C"/>
    <w:rsid w:val="3DC9235F"/>
    <w:rsid w:val="3DE5343E"/>
    <w:rsid w:val="3E045955"/>
    <w:rsid w:val="3E2928AA"/>
    <w:rsid w:val="3E4B0558"/>
    <w:rsid w:val="3E7C30D1"/>
    <w:rsid w:val="3EC373AA"/>
    <w:rsid w:val="3ED0655E"/>
    <w:rsid w:val="3FA1130F"/>
    <w:rsid w:val="4036451C"/>
    <w:rsid w:val="40413111"/>
    <w:rsid w:val="405139D2"/>
    <w:rsid w:val="405F6F2D"/>
    <w:rsid w:val="40774519"/>
    <w:rsid w:val="40D745DE"/>
    <w:rsid w:val="40D84475"/>
    <w:rsid w:val="40ED6EDE"/>
    <w:rsid w:val="41291148"/>
    <w:rsid w:val="41451DE3"/>
    <w:rsid w:val="421C341D"/>
    <w:rsid w:val="4226002E"/>
    <w:rsid w:val="4248650C"/>
    <w:rsid w:val="425101DD"/>
    <w:rsid w:val="425813A7"/>
    <w:rsid w:val="425E3CE6"/>
    <w:rsid w:val="42662B39"/>
    <w:rsid w:val="42E2671F"/>
    <w:rsid w:val="42EB1794"/>
    <w:rsid w:val="432A038A"/>
    <w:rsid w:val="43312EC1"/>
    <w:rsid w:val="43B006A9"/>
    <w:rsid w:val="43F51823"/>
    <w:rsid w:val="4438496E"/>
    <w:rsid w:val="44673A6C"/>
    <w:rsid w:val="44727382"/>
    <w:rsid w:val="4488447C"/>
    <w:rsid w:val="44E05F8D"/>
    <w:rsid w:val="45A81610"/>
    <w:rsid w:val="45F86314"/>
    <w:rsid w:val="45F923A2"/>
    <w:rsid w:val="463D1398"/>
    <w:rsid w:val="463D487E"/>
    <w:rsid w:val="46467996"/>
    <w:rsid w:val="46543001"/>
    <w:rsid w:val="467A71E9"/>
    <w:rsid w:val="46AE36CC"/>
    <w:rsid w:val="46B03B70"/>
    <w:rsid w:val="46CD5B27"/>
    <w:rsid w:val="4714656C"/>
    <w:rsid w:val="47247B03"/>
    <w:rsid w:val="472D4AE4"/>
    <w:rsid w:val="475A0E25"/>
    <w:rsid w:val="477433AA"/>
    <w:rsid w:val="47867564"/>
    <w:rsid w:val="47B13336"/>
    <w:rsid w:val="47D21439"/>
    <w:rsid w:val="47EC2593"/>
    <w:rsid w:val="481D7858"/>
    <w:rsid w:val="4844501C"/>
    <w:rsid w:val="487D0486"/>
    <w:rsid w:val="487E6827"/>
    <w:rsid w:val="488D1BB3"/>
    <w:rsid w:val="489F3B56"/>
    <w:rsid w:val="48C15ED3"/>
    <w:rsid w:val="48D55C81"/>
    <w:rsid w:val="48F851C5"/>
    <w:rsid w:val="491F590E"/>
    <w:rsid w:val="49252811"/>
    <w:rsid w:val="49493CCA"/>
    <w:rsid w:val="49B56187"/>
    <w:rsid w:val="49C87B61"/>
    <w:rsid w:val="49E60E5D"/>
    <w:rsid w:val="4A1909A0"/>
    <w:rsid w:val="4A280604"/>
    <w:rsid w:val="4A874B09"/>
    <w:rsid w:val="4AA8729E"/>
    <w:rsid w:val="4AB72EC2"/>
    <w:rsid w:val="4AF56EC6"/>
    <w:rsid w:val="4B4C02ED"/>
    <w:rsid w:val="4B51629E"/>
    <w:rsid w:val="4B777293"/>
    <w:rsid w:val="4BE618E3"/>
    <w:rsid w:val="4BEE44F2"/>
    <w:rsid w:val="4BF547E4"/>
    <w:rsid w:val="4C452A2E"/>
    <w:rsid w:val="4C70693C"/>
    <w:rsid w:val="4C850A5B"/>
    <w:rsid w:val="4C8537C9"/>
    <w:rsid w:val="4C957E34"/>
    <w:rsid w:val="4C9C21E9"/>
    <w:rsid w:val="4CA73341"/>
    <w:rsid w:val="4CA74208"/>
    <w:rsid w:val="4CAE6E7D"/>
    <w:rsid w:val="4CC70070"/>
    <w:rsid w:val="4CF66DE9"/>
    <w:rsid w:val="4CFD5365"/>
    <w:rsid w:val="4D0B1526"/>
    <w:rsid w:val="4D234ECE"/>
    <w:rsid w:val="4D5B555E"/>
    <w:rsid w:val="4DC529C1"/>
    <w:rsid w:val="4DC6143B"/>
    <w:rsid w:val="4DCB5250"/>
    <w:rsid w:val="4F873962"/>
    <w:rsid w:val="4F92738F"/>
    <w:rsid w:val="4FA662CE"/>
    <w:rsid w:val="4FB63CF5"/>
    <w:rsid w:val="4FC17B04"/>
    <w:rsid w:val="4FFF2B45"/>
    <w:rsid w:val="500037D4"/>
    <w:rsid w:val="501410FA"/>
    <w:rsid w:val="50205D85"/>
    <w:rsid w:val="502305CE"/>
    <w:rsid w:val="50E20028"/>
    <w:rsid w:val="50EB273B"/>
    <w:rsid w:val="50F87889"/>
    <w:rsid w:val="514B229E"/>
    <w:rsid w:val="516D2B6E"/>
    <w:rsid w:val="517860F3"/>
    <w:rsid w:val="51860E9E"/>
    <w:rsid w:val="524A4D58"/>
    <w:rsid w:val="528F7A60"/>
    <w:rsid w:val="52955FB3"/>
    <w:rsid w:val="52960FF2"/>
    <w:rsid w:val="529A5B53"/>
    <w:rsid w:val="52F42575"/>
    <w:rsid w:val="534D12A4"/>
    <w:rsid w:val="53531B4B"/>
    <w:rsid w:val="536329BD"/>
    <w:rsid w:val="53647DA3"/>
    <w:rsid w:val="53731DE7"/>
    <w:rsid w:val="53BD5C40"/>
    <w:rsid w:val="5414133C"/>
    <w:rsid w:val="548D027F"/>
    <w:rsid w:val="54BA2EAE"/>
    <w:rsid w:val="54FD5792"/>
    <w:rsid w:val="55A93686"/>
    <w:rsid w:val="55E114D5"/>
    <w:rsid w:val="55E934D8"/>
    <w:rsid w:val="564A3398"/>
    <w:rsid w:val="56681C92"/>
    <w:rsid w:val="56C4107E"/>
    <w:rsid w:val="57045D5A"/>
    <w:rsid w:val="578A7A88"/>
    <w:rsid w:val="578F58C9"/>
    <w:rsid w:val="582B1C27"/>
    <w:rsid w:val="5839310F"/>
    <w:rsid w:val="584552BF"/>
    <w:rsid w:val="58EC44DE"/>
    <w:rsid w:val="59045508"/>
    <w:rsid w:val="592120C0"/>
    <w:rsid w:val="59331502"/>
    <w:rsid w:val="594C5E66"/>
    <w:rsid w:val="599778BB"/>
    <w:rsid w:val="59AB15BF"/>
    <w:rsid w:val="59C17E7B"/>
    <w:rsid w:val="59E545C2"/>
    <w:rsid w:val="5A0443D6"/>
    <w:rsid w:val="5A3D3A3C"/>
    <w:rsid w:val="5A401792"/>
    <w:rsid w:val="5B690751"/>
    <w:rsid w:val="5BC10B40"/>
    <w:rsid w:val="5C1D1464"/>
    <w:rsid w:val="5C6A38E4"/>
    <w:rsid w:val="5C9E6A24"/>
    <w:rsid w:val="5CB937BA"/>
    <w:rsid w:val="5CC036D5"/>
    <w:rsid w:val="5D436F16"/>
    <w:rsid w:val="5D81625E"/>
    <w:rsid w:val="5D906BF5"/>
    <w:rsid w:val="5DB47334"/>
    <w:rsid w:val="5DC33751"/>
    <w:rsid w:val="5E172770"/>
    <w:rsid w:val="5E27547D"/>
    <w:rsid w:val="5E317753"/>
    <w:rsid w:val="5E340B81"/>
    <w:rsid w:val="5E3D0404"/>
    <w:rsid w:val="5E5911C4"/>
    <w:rsid w:val="5E876FD9"/>
    <w:rsid w:val="5EC62701"/>
    <w:rsid w:val="5F54068C"/>
    <w:rsid w:val="5F6E31CD"/>
    <w:rsid w:val="60286820"/>
    <w:rsid w:val="60555FE4"/>
    <w:rsid w:val="60A67B50"/>
    <w:rsid w:val="60CB4152"/>
    <w:rsid w:val="60CD632C"/>
    <w:rsid w:val="60CF3E48"/>
    <w:rsid w:val="60DC139E"/>
    <w:rsid w:val="60F40A4B"/>
    <w:rsid w:val="610F0A2B"/>
    <w:rsid w:val="612C42F2"/>
    <w:rsid w:val="612E74FF"/>
    <w:rsid w:val="613F381B"/>
    <w:rsid w:val="61427D4E"/>
    <w:rsid w:val="61453BAA"/>
    <w:rsid w:val="616C4576"/>
    <w:rsid w:val="61AE3C5C"/>
    <w:rsid w:val="61C1436C"/>
    <w:rsid w:val="61C331AA"/>
    <w:rsid w:val="61DE537F"/>
    <w:rsid w:val="61FD7C20"/>
    <w:rsid w:val="62153A13"/>
    <w:rsid w:val="621A0401"/>
    <w:rsid w:val="62543634"/>
    <w:rsid w:val="62571A8C"/>
    <w:rsid w:val="626240BD"/>
    <w:rsid w:val="6284234E"/>
    <w:rsid w:val="62AE1103"/>
    <w:rsid w:val="62F62752"/>
    <w:rsid w:val="63075C78"/>
    <w:rsid w:val="63990AB5"/>
    <w:rsid w:val="63F27705"/>
    <w:rsid w:val="64597FC3"/>
    <w:rsid w:val="645F16B8"/>
    <w:rsid w:val="64680957"/>
    <w:rsid w:val="647D06BF"/>
    <w:rsid w:val="64A0181F"/>
    <w:rsid w:val="64C54636"/>
    <w:rsid w:val="64EF0311"/>
    <w:rsid w:val="650961CA"/>
    <w:rsid w:val="650A4CE3"/>
    <w:rsid w:val="652F4849"/>
    <w:rsid w:val="653B6DB7"/>
    <w:rsid w:val="657B34F3"/>
    <w:rsid w:val="65A208EF"/>
    <w:rsid w:val="65A60C2C"/>
    <w:rsid w:val="65B6240C"/>
    <w:rsid w:val="65CA0FF0"/>
    <w:rsid w:val="65EE2C12"/>
    <w:rsid w:val="65F07CC9"/>
    <w:rsid w:val="662B515E"/>
    <w:rsid w:val="6640611A"/>
    <w:rsid w:val="66787AF8"/>
    <w:rsid w:val="66875532"/>
    <w:rsid w:val="66B06674"/>
    <w:rsid w:val="66C47EC6"/>
    <w:rsid w:val="66D53FEE"/>
    <w:rsid w:val="66F73C73"/>
    <w:rsid w:val="67201A40"/>
    <w:rsid w:val="673D37B8"/>
    <w:rsid w:val="67515402"/>
    <w:rsid w:val="67521566"/>
    <w:rsid w:val="679B4A1A"/>
    <w:rsid w:val="680A1C1C"/>
    <w:rsid w:val="680A7425"/>
    <w:rsid w:val="68224AB7"/>
    <w:rsid w:val="683166D7"/>
    <w:rsid w:val="68371EB1"/>
    <w:rsid w:val="685A75E8"/>
    <w:rsid w:val="68615EDB"/>
    <w:rsid w:val="68F52B6F"/>
    <w:rsid w:val="68FD24D6"/>
    <w:rsid w:val="69017C1D"/>
    <w:rsid w:val="691A4459"/>
    <w:rsid w:val="692D0390"/>
    <w:rsid w:val="692E7BAA"/>
    <w:rsid w:val="69556EB7"/>
    <w:rsid w:val="6A0551DE"/>
    <w:rsid w:val="6A120D25"/>
    <w:rsid w:val="6A2A5219"/>
    <w:rsid w:val="6AD348C2"/>
    <w:rsid w:val="6AD36EE6"/>
    <w:rsid w:val="6AF93859"/>
    <w:rsid w:val="6B005FF4"/>
    <w:rsid w:val="6B0F5C47"/>
    <w:rsid w:val="6B125020"/>
    <w:rsid w:val="6B4500D3"/>
    <w:rsid w:val="6BD27171"/>
    <w:rsid w:val="6BFA7F32"/>
    <w:rsid w:val="6C077347"/>
    <w:rsid w:val="6C963BCE"/>
    <w:rsid w:val="6CF1031B"/>
    <w:rsid w:val="6D184D18"/>
    <w:rsid w:val="6D1E612A"/>
    <w:rsid w:val="6D36084C"/>
    <w:rsid w:val="6D6738CE"/>
    <w:rsid w:val="6D9825D1"/>
    <w:rsid w:val="6DBF6599"/>
    <w:rsid w:val="6DCE1423"/>
    <w:rsid w:val="6E136122"/>
    <w:rsid w:val="6E432DA1"/>
    <w:rsid w:val="6E8A1C00"/>
    <w:rsid w:val="6EB9047F"/>
    <w:rsid w:val="6EC05DE2"/>
    <w:rsid w:val="6ED802A2"/>
    <w:rsid w:val="6F0A4E44"/>
    <w:rsid w:val="6F6C51AB"/>
    <w:rsid w:val="6F8705F8"/>
    <w:rsid w:val="6FC54D50"/>
    <w:rsid w:val="70062EC5"/>
    <w:rsid w:val="701A1470"/>
    <w:rsid w:val="70327D19"/>
    <w:rsid w:val="70516DB9"/>
    <w:rsid w:val="70572659"/>
    <w:rsid w:val="70862F2F"/>
    <w:rsid w:val="70C93198"/>
    <w:rsid w:val="70F62EA0"/>
    <w:rsid w:val="710E46EC"/>
    <w:rsid w:val="71324139"/>
    <w:rsid w:val="717C6EE8"/>
    <w:rsid w:val="71B37311"/>
    <w:rsid w:val="71CA07BD"/>
    <w:rsid w:val="71FA1AF9"/>
    <w:rsid w:val="721D2A0D"/>
    <w:rsid w:val="722517F9"/>
    <w:rsid w:val="728523DB"/>
    <w:rsid w:val="72911A25"/>
    <w:rsid w:val="72FA653A"/>
    <w:rsid w:val="732764FB"/>
    <w:rsid w:val="7375573E"/>
    <w:rsid w:val="73B04906"/>
    <w:rsid w:val="73CB0206"/>
    <w:rsid w:val="73D0560B"/>
    <w:rsid w:val="73D727B7"/>
    <w:rsid w:val="73DD45C2"/>
    <w:rsid w:val="74207C6A"/>
    <w:rsid w:val="7421270C"/>
    <w:rsid w:val="742A058B"/>
    <w:rsid w:val="74BA419B"/>
    <w:rsid w:val="74D41120"/>
    <w:rsid w:val="74EA6C4B"/>
    <w:rsid w:val="750B3FE4"/>
    <w:rsid w:val="751B464E"/>
    <w:rsid w:val="755C07D6"/>
    <w:rsid w:val="757E009D"/>
    <w:rsid w:val="75E87AC0"/>
    <w:rsid w:val="763318E4"/>
    <w:rsid w:val="765A0BA5"/>
    <w:rsid w:val="76754CBB"/>
    <w:rsid w:val="76F81FC6"/>
    <w:rsid w:val="77127EBF"/>
    <w:rsid w:val="77535900"/>
    <w:rsid w:val="775C04C5"/>
    <w:rsid w:val="77753DAA"/>
    <w:rsid w:val="77A33325"/>
    <w:rsid w:val="77DB2ADA"/>
    <w:rsid w:val="77DD60B4"/>
    <w:rsid w:val="77FA735B"/>
    <w:rsid w:val="78143205"/>
    <w:rsid w:val="78186CD6"/>
    <w:rsid w:val="782A4815"/>
    <w:rsid w:val="78542F5E"/>
    <w:rsid w:val="78656D33"/>
    <w:rsid w:val="789828EB"/>
    <w:rsid w:val="789D4EE1"/>
    <w:rsid w:val="78A9770C"/>
    <w:rsid w:val="78AB11DE"/>
    <w:rsid w:val="78C36DEB"/>
    <w:rsid w:val="78CB590B"/>
    <w:rsid w:val="78D72BBA"/>
    <w:rsid w:val="79036C4A"/>
    <w:rsid w:val="791673BB"/>
    <w:rsid w:val="792403B1"/>
    <w:rsid w:val="796D2983"/>
    <w:rsid w:val="797804DF"/>
    <w:rsid w:val="79887553"/>
    <w:rsid w:val="79A4635B"/>
    <w:rsid w:val="79B774AA"/>
    <w:rsid w:val="7A380AA1"/>
    <w:rsid w:val="7A737A8E"/>
    <w:rsid w:val="7A933FC1"/>
    <w:rsid w:val="7ACE1BC6"/>
    <w:rsid w:val="7B1153C0"/>
    <w:rsid w:val="7B43173F"/>
    <w:rsid w:val="7B4A5D58"/>
    <w:rsid w:val="7B823B87"/>
    <w:rsid w:val="7B912D47"/>
    <w:rsid w:val="7BE105FE"/>
    <w:rsid w:val="7BE85379"/>
    <w:rsid w:val="7C4272C0"/>
    <w:rsid w:val="7C9355FE"/>
    <w:rsid w:val="7CA82D21"/>
    <w:rsid w:val="7D112490"/>
    <w:rsid w:val="7D1B3445"/>
    <w:rsid w:val="7D255511"/>
    <w:rsid w:val="7D39160C"/>
    <w:rsid w:val="7D5F6D3B"/>
    <w:rsid w:val="7D9C4F71"/>
    <w:rsid w:val="7D9D01C0"/>
    <w:rsid w:val="7DAD344E"/>
    <w:rsid w:val="7DD55341"/>
    <w:rsid w:val="7DFA229B"/>
    <w:rsid w:val="7E155EC9"/>
    <w:rsid w:val="7E727180"/>
    <w:rsid w:val="7E8F16A4"/>
    <w:rsid w:val="7F113252"/>
    <w:rsid w:val="7F4D6E65"/>
    <w:rsid w:val="7F544485"/>
    <w:rsid w:val="7F650ED9"/>
    <w:rsid w:val="7F8F63FA"/>
    <w:rsid w:val="7F916678"/>
    <w:rsid w:val="7F9C4589"/>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5"/>
    <w:unhideWhenUsed/>
    <w:qFormat/>
    <w:uiPriority w:val="99"/>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annotation subject"/>
    <w:basedOn w:val="3"/>
    <w:next w:val="3"/>
    <w:link w:val="16"/>
    <w:qFormat/>
    <w:uiPriority w:val="0"/>
    <w:rPr>
      <w:b/>
      <w:bCs/>
    </w:rPr>
  </w:style>
  <w:style w:type="table" w:styleId="8">
    <w:name w:val="Table Grid"/>
    <w:basedOn w:val="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qFormat/>
    <w:uiPriority w:val="0"/>
    <w:rPr>
      <w:sz w:val="21"/>
      <w:szCs w:val="21"/>
    </w:rPr>
  </w:style>
  <w:style w:type="paragraph" w:styleId="11">
    <w:name w:val="List Paragraph"/>
    <w:basedOn w:val="1"/>
    <w:qFormat/>
    <w:uiPriority w:val="34"/>
    <w:pPr>
      <w:ind w:firstLine="420" w:firstLineChars="200"/>
    </w:pPr>
  </w:style>
  <w:style w:type="paragraph" w:customStyle="1" w:styleId="12">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4">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5">
    <w:name w:val="批注文字 字符"/>
    <w:basedOn w:val="9"/>
    <w:link w:val="3"/>
    <w:qFormat/>
    <w:uiPriority w:val="99"/>
    <w:rPr>
      <w:rFonts w:asciiTheme="minorHAnsi" w:hAnsiTheme="minorHAnsi" w:eastAsiaTheme="minorEastAsia" w:cstheme="minorBidi"/>
      <w:kern w:val="2"/>
      <w:sz w:val="21"/>
      <w:szCs w:val="22"/>
    </w:rPr>
  </w:style>
  <w:style w:type="character" w:customStyle="1" w:styleId="16">
    <w:name w:val="批注主题 字符"/>
    <w:basedOn w:val="15"/>
    <w:link w:val="6"/>
    <w:qFormat/>
    <w:uiPriority w:val="0"/>
    <w:rPr>
      <w:rFonts w:asciiTheme="minorHAnsi" w:hAnsiTheme="minorHAnsi" w:eastAsiaTheme="minorEastAsia" w:cstheme="minorBidi"/>
      <w:b/>
      <w:bCs/>
      <w:kern w:val="2"/>
      <w:sz w:val="21"/>
      <w:szCs w:val="22"/>
    </w:rPr>
  </w:style>
  <w:style w:type="paragraph" w:customStyle="1" w:styleId="17">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6">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73</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2025-01-09T03:24:00Z</dcterms:created>
  <cp:lastModifiedBy>qianyi.jia</cp:lastModifiedBy>
  <cp:lastPrinted>2024-10-23T10:08:00Z</cp:lastPrinted>
  <dcterms:modified xsi:type="dcterms:W3CDTF">2026-07-02T07:59:14Z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