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2" w:name="_GoBack"/>
      <w:bookmarkEnd w:id="2"/>
      <w:r>
        <w:rPr>
          <w:rFonts w:hint="eastAsia" w:ascii="华文仿宋" w:hAnsi="华文仿宋" w:eastAsia="华文仿宋" w:cs="华文仿宋"/>
          <w:b/>
          <w:bCs/>
          <w:sz w:val="32"/>
          <w:szCs w:val="32"/>
          <w:highlight w:val="none"/>
        </w:rPr>
        <w:t>渤银理财财收有略系列固定收益类一年封闭式理财产品</w:t>
      </w:r>
      <w:r>
        <w:rPr>
          <w:rFonts w:hint="eastAsia" w:ascii="华文仿宋" w:hAnsi="华文仿宋" w:eastAsia="华文仿宋" w:cs="华文仿宋"/>
          <w:b/>
          <w:bCs/>
          <w:sz w:val="32"/>
          <w:szCs w:val="32"/>
          <w:highlight w:val="none"/>
          <w:lang w:eastAsia="zh-CN"/>
        </w:rPr>
        <w:t>聚宝28号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w:t>
      </w:r>
      <w:r>
        <w:rPr>
          <w:rFonts w:ascii="宋体" w:hAnsi="宋体" w:eastAsia="宋体"/>
          <w:sz w:val="24"/>
          <w:szCs w:val="24"/>
          <w:highlight w:val="none"/>
        </w:rPr>
        <w:t>银行</w:t>
      </w:r>
      <w:r>
        <w:rPr>
          <w:rFonts w:hint="eastAsia" w:ascii="宋体" w:hAnsi="宋体" w:eastAsia="宋体"/>
          <w:sz w:val="24"/>
          <w:szCs w:val="24"/>
          <w:highlight w:val="none"/>
        </w:rPr>
        <w:t>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渤银理财财收有略系列固定收益类一年封闭式理财产品</w:t>
      </w:r>
      <w:r>
        <w:rPr>
          <w:rFonts w:hint="eastAsia" w:ascii="宋体" w:hAnsi="宋体" w:eastAsia="宋体"/>
          <w:sz w:val="24"/>
          <w:szCs w:val="24"/>
          <w:highlight w:val="none"/>
          <w:lang w:eastAsia="zh-CN"/>
        </w:rPr>
        <w:t>聚宝28号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产品名称：渤银理财财收有略系列固定收益类一年封闭式理财产品</w:t>
            </w:r>
            <w:r>
              <w:rPr>
                <w:rFonts w:hint="eastAsia" w:ascii="宋体" w:hAnsi="宋体" w:eastAsia="宋体"/>
                <w:sz w:val="24"/>
                <w:szCs w:val="24"/>
                <w:highlight w:val="none"/>
                <w:lang w:eastAsia="zh-CN"/>
              </w:rPr>
              <w:t>聚宝28号</w:t>
            </w:r>
          </w:p>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CSFB1YJB028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r>
              <w:rPr>
                <w:rFonts w:hint="eastAsia" w:ascii="宋体" w:hAnsi="宋体" w:eastAsia="宋体"/>
                <w:sz w:val="24"/>
                <w:szCs w:val="24"/>
                <w:highlight w:val="none"/>
                <w:lang w:eastAsia="zh-CN"/>
              </w:rPr>
              <w:t>财收有略一年聚宝28号</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sz w:val="24"/>
                <w:szCs w:val="24"/>
                <w:highlight w:val="none"/>
                <w:lang w:eastAsia="zh-CN"/>
              </w:rPr>
              <w:t>CSFB1YJB028</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default" w:ascii="宋体" w:hAnsi="宋体" w:eastAsia="宋体"/>
                <w:sz w:val="24"/>
                <w:szCs w:val="24"/>
                <w:highlight w:val="none"/>
                <w:lang w:val="en-US" w:eastAsia="zh-CN"/>
              </w:rPr>
            </w:pPr>
            <w:r>
              <w:rPr>
                <w:rFonts w:ascii="宋体" w:hAnsi="宋体" w:eastAsia="宋体" w:cs="宋体"/>
                <w:sz w:val="24"/>
                <w:szCs w:val="24"/>
                <w:highlight w:val="none"/>
              </w:rPr>
              <w:t>Z</w:t>
            </w:r>
            <w:r>
              <w:rPr>
                <w:rFonts w:hint="eastAsia" w:ascii="宋体" w:hAnsi="宋体" w:eastAsia="宋体" w:cs="宋体"/>
                <w:sz w:val="24"/>
                <w:szCs w:val="24"/>
                <w:highlight w:val="none"/>
                <w:lang w:val="en-US" w:eastAsia="zh-CN"/>
              </w:rPr>
              <w:t>7008426000465</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lang w:val="en-US" w:eastAsia="zh-CN"/>
              </w:rPr>
              <w:t>渤海银行股份有限公司</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以下简称“代销机构”</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ind w:left="0" w:firstLine="0" w:firstLineChars="0"/>
              <w:rPr>
                <w:highlight w:val="none"/>
              </w:rPr>
            </w:pPr>
            <w:r>
              <w:rPr>
                <w:rFonts w:hint="eastAsia" w:ascii="宋体" w:hAnsi="宋体" w:eastAsia="宋体"/>
                <w:sz w:val="24"/>
                <w:szCs w:val="24"/>
                <w:highlight w:val="none"/>
              </w:rPr>
              <w:t>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5000万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单一个人投资者持有上限为【</w:t>
            </w:r>
            <w:r>
              <w:rPr>
                <w:rFonts w:hint="eastAsia" w:ascii="宋体" w:hAnsi="宋体" w:eastAsia="宋体"/>
                <w:sz w:val="24"/>
                <w:szCs w:val="24"/>
                <w:highlight w:val="none"/>
                <w:lang w:val="en-US" w:eastAsia="zh-CN"/>
              </w:rPr>
              <w:t>5000万</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13</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14</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14</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20</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371</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本理财产品业绩比较基准为：年化【2.</w:t>
            </w:r>
            <w:r>
              <w:rPr>
                <w:rFonts w:hint="eastAsia" w:ascii="宋体" w:hAnsi="宋体" w:eastAsia="宋体"/>
                <w:b/>
                <w:bCs/>
                <w:sz w:val="24"/>
                <w:szCs w:val="24"/>
                <w:highlight w:val="none"/>
                <w:lang w:val="en-US" w:eastAsia="zh-CN"/>
              </w:rPr>
              <w:t>30</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2.80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权类资产仓位80%-100%，组合杠杆率80%-140%为例，根据当前市场环境下资产收益情况，考虑税费等因素，综合确定本产品业绩比较基准。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sz w:val="24"/>
                <w:szCs w:val="24"/>
                <w:highlight w:val="none"/>
                <w:lang w:eastAsia="zh-CN"/>
              </w:rPr>
            </w:pPr>
            <w:r>
              <w:rPr>
                <w:rFonts w:hint="eastAsia" w:ascii="宋体" w:hAnsi="宋体" w:eastAsia="宋体"/>
                <w:b/>
                <w:bCs/>
                <w:sz w:val="24"/>
                <w:szCs w:val="24"/>
                <w:highlight w:val="none"/>
              </w:rPr>
              <w:t>1.本理财产品</w:t>
            </w:r>
            <w:r>
              <w:rPr>
                <w:rFonts w:hint="eastAsia" w:ascii="宋体" w:hAnsi="宋体" w:eastAsia="宋体"/>
                <w:b/>
                <w:bCs/>
                <w:sz w:val="24"/>
                <w:szCs w:val="24"/>
                <w:highlight w:val="none"/>
                <w:lang w:val="en-US" w:eastAsia="zh-CN"/>
              </w:rPr>
              <w:t>不</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hint="eastAsia" w:ascii="宋体" w:hAnsi="宋体" w:eastAsia="宋体"/>
                <w:b/>
                <w:bCs/>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b/>
                <w:bCs/>
                <w:sz w:val="24"/>
                <w:szCs w:val="24"/>
                <w:highlight w:val="none"/>
              </w:rPr>
              <w:t>2.销售服务费：【</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收取超额业绩报酬。</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rPr>
      </w:pPr>
      <w:r>
        <w:rPr>
          <w:rFonts w:hint="eastAsia" w:ascii="宋体" w:hAnsi="宋体" w:eastAsia="宋体"/>
          <w:sz w:val="24"/>
          <w:szCs w:val="24"/>
        </w:rPr>
        <w:t>本理财产品可直接或通过资产管理计划、信托计划及基金等资产管理产品</w:t>
      </w:r>
      <w:r>
        <w:rPr>
          <w:rFonts w:hint="eastAsia" w:ascii="宋体" w:hAnsi="宋体" w:eastAsia="宋体"/>
          <w:sz w:val="24"/>
          <w:szCs w:val="24"/>
          <w:lang w:eastAsia="zh-CN"/>
        </w:rPr>
        <w:t>（</w:t>
      </w:r>
      <w:r>
        <w:rPr>
          <w:rFonts w:hint="eastAsia" w:ascii="宋体" w:hAnsi="宋体" w:eastAsia="宋体"/>
          <w:sz w:val="24"/>
          <w:szCs w:val="24"/>
          <w:lang w:val="en-US" w:eastAsia="zh-CN"/>
        </w:rPr>
        <w:t>含公募REITs、</w:t>
      </w:r>
      <w:r>
        <w:rPr>
          <w:rFonts w:hint="eastAsia" w:ascii="宋体" w:hAnsi="宋体" w:eastAsia="宋体"/>
          <w:sz w:val="24"/>
          <w:szCs w:val="24"/>
        </w:rPr>
        <w:t>互认基金、QDII基金</w:t>
      </w:r>
      <w:r>
        <w:rPr>
          <w:rFonts w:hint="eastAsia" w:ascii="宋体" w:hAnsi="宋体" w:eastAsia="宋体"/>
          <w:sz w:val="24"/>
          <w:szCs w:val="24"/>
          <w:lang w:eastAsia="zh-CN"/>
        </w:rPr>
        <w:t>）</w:t>
      </w:r>
      <w:r>
        <w:rPr>
          <w:rFonts w:hint="eastAsia" w:ascii="宋体" w:hAnsi="宋体" w:eastAsia="宋体"/>
          <w:sz w:val="24"/>
          <w:szCs w:val="24"/>
        </w:rPr>
        <w:t>间接投资于以下符合监管要求的金融资产和金融工具，包括但不限于：</w:t>
      </w:r>
    </w:p>
    <w:p>
      <w:pPr>
        <w:numPr>
          <w:ilvl w:val="0"/>
          <w:numId w:val="6"/>
        </w:numPr>
        <w:spacing w:line="300" w:lineRule="auto"/>
        <w:ind w:firstLine="480" w:firstLineChars="200"/>
        <w:rPr>
          <w:rFonts w:hint="eastAsia" w:ascii="宋体" w:hAnsi="宋体" w:eastAsia="宋体"/>
          <w:sz w:val="24"/>
          <w:szCs w:val="24"/>
          <w:lang w:eastAsia="zh-CN"/>
        </w:rPr>
      </w:pPr>
      <w:r>
        <w:rPr>
          <w:rFonts w:hint="eastAsia" w:ascii="宋体" w:hAnsi="宋体" w:eastAsia="宋体"/>
          <w:sz w:val="24"/>
          <w:szCs w:val="24"/>
        </w:rPr>
        <w:t>固定收益类资产</w:t>
      </w:r>
    </w:p>
    <w:p>
      <w:pPr>
        <w:numPr>
          <w:ilvl w:val="-1"/>
          <w:numId w:val="0"/>
        </w:numPr>
        <w:spacing w:line="300" w:lineRule="auto"/>
        <w:ind w:firstLine="480" w:firstLineChars="200"/>
        <w:rPr>
          <w:rFonts w:hint="eastAsia" w:ascii="宋体" w:hAnsi="宋体" w:eastAsia="宋体"/>
          <w:sz w:val="24"/>
          <w:szCs w:val="24"/>
          <w:highlight w:val="none"/>
          <w:shd w:val="clear" w:color="auto" w:fill="auto"/>
          <w:lang w:eastAsia="zh-CN"/>
        </w:rPr>
      </w:pPr>
      <w:r>
        <w:rPr>
          <w:rFonts w:hint="eastAsia" w:ascii="宋体" w:hAnsi="宋体" w:eastAsia="宋体"/>
          <w:sz w:val="24"/>
          <w:szCs w:val="24"/>
          <w:highlight w:val="none"/>
          <w:shd w:val="clear" w:color="auto" w:fill="auto"/>
        </w:rPr>
        <w:t>包括但不限于现金、银行存款、同业存款、协议存款、定期存款</w:t>
      </w:r>
      <w:r>
        <w:rPr>
          <w:rFonts w:hint="eastAsia" w:ascii="宋体" w:hAnsi="宋体" w:eastAsia="宋体"/>
          <w:sz w:val="24"/>
          <w:szCs w:val="24"/>
          <w:highlight w:val="none"/>
          <w:shd w:val="clear" w:color="auto" w:fill="auto"/>
          <w:lang w:eastAsia="zh-CN"/>
        </w:rPr>
        <w:t>、</w:t>
      </w:r>
      <w:r>
        <w:rPr>
          <w:rFonts w:hint="eastAsia" w:ascii="宋体" w:hAnsi="宋体" w:eastAsia="宋体"/>
          <w:sz w:val="24"/>
          <w:szCs w:val="24"/>
          <w:highlight w:val="none"/>
          <w:shd w:val="clear" w:color="auto" w:fill="auto"/>
        </w:rPr>
        <w:t>结构性存款</w:t>
      </w:r>
      <w:r>
        <w:rPr>
          <w:rFonts w:hint="eastAsia" w:ascii="宋体" w:hAnsi="宋体" w:eastAsia="宋体"/>
          <w:sz w:val="24"/>
          <w:szCs w:val="24"/>
          <w:highlight w:val="none"/>
          <w:shd w:val="clear" w:color="auto" w:fill="auto"/>
          <w:lang w:eastAsia="zh-CN"/>
        </w:rPr>
        <w:t>、</w:t>
      </w:r>
      <w:r>
        <w:rPr>
          <w:rFonts w:hint="eastAsia" w:ascii="宋体" w:hAnsi="宋体" w:eastAsia="宋体"/>
          <w:sz w:val="24"/>
          <w:szCs w:val="24"/>
          <w:highlight w:val="none"/>
          <w:shd w:val="clear" w:color="auto" w:fill="auto"/>
        </w:rPr>
        <w:t>通知存款</w:t>
      </w:r>
      <w:r>
        <w:rPr>
          <w:rFonts w:hint="eastAsia" w:ascii="宋体" w:hAnsi="宋体" w:eastAsia="宋体"/>
          <w:sz w:val="24"/>
          <w:szCs w:val="24"/>
          <w:highlight w:val="none"/>
          <w:shd w:val="clear" w:color="auto" w:fill="auto"/>
          <w:lang w:eastAsia="zh-CN"/>
        </w:rPr>
        <w:t>、</w:t>
      </w:r>
      <w:r>
        <w:rPr>
          <w:rFonts w:hint="eastAsia" w:ascii="宋体" w:hAnsi="宋体" w:eastAsia="宋体"/>
          <w:sz w:val="24"/>
          <w:szCs w:val="24"/>
          <w:highlight w:val="none"/>
          <w:shd w:val="clear" w:color="auto" w:fill="auto"/>
        </w:rPr>
        <w:t>大额存单、同业存单、资金拆借、债券回购、货币基金</w:t>
      </w:r>
      <w:r>
        <w:rPr>
          <w:rFonts w:hint="eastAsia" w:ascii="宋体" w:hAnsi="宋体" w:eastAsia="宋体"/>
          <w:sz w:val="24"/>
          <w:szCs w:val="24"/>
          <w:highlight w:val="none"/>
          <w:shd w:val="clear" w:color="auto" w:fill="auto"/>
          <w:lang w:val="en-US" w:eastAsia="zh-CN"/>
        </w:rPr>
        <w:t>等货币市场工具、</w:t>
      </w:r>
      <w:r>
        <w:rPr>
          <w:rFonts w:hint="eastAsia" w:ascii="宋体" w:hAnsi="宋体" w:eastAsia="宋体"/>
          <w:sz w:val="24"/>
          <w:szCs w:val="24"/>
          <w:highlight w:val="none"/>
          <w:shd w:val="clear" w:color="auto" w:fill="auto"/>
        </w:rPr>
        <w:t>国债、</w:t>
      </w:r>
      <w:r>
        <w:rPr>
          <w:rFonts w:hint="eastAsia" w:ascii="宋体" w:hAnsi="宋体" w:eastAsia="宋体"/>
          <w:sz w:val="24"/>
          <w:szCs w:val="24"/>
          <w:highlight w:val="none"/>
          <w:shd w:val="clear" w:color="auto" w:fill="auto"/>
          <w:lang w:val="en-US" w:eastAsia="zh-CN"/>
        </w:rPr>
        <w:t>央行票据</w:t>
      </w:r>
      <w:r>
        <w:rPr>
          <w:rFonts w:hint="eastAsia" w:ascii="宋体" w:hAnsi="宋体" w:eastAsia="宋体"/>
          <w:sz w:val="24"/>
          <w:szCs w:val="24"/>
          <w:highlight w:val="none"/>
          <w:shd w:val="clear" w:color="auto" w:fill="auto"/>
        </w:rPr>
        <w:t>、企业债、金融债、政策性金融债、次级债、资产支持证券、</w:t>
      </w:r>
      <w:r>
        <w:rPr>
          <w:rFonts w:hint="eastAsia" w:ascii="宋体" w:hAnsi="宋体" w:eastAsia="宋体"/>
          <w:sz w:val="24"/>
          <w:szCs w:val="24"/>
          <w:highlight w:val="none"/>
          <w:shd w:val="clear" w:color="auto" w:fill="auto"/>
          <w:lang w:eastAsia="zh-CN"/>
        </w:rPr>
        <w:t>资产支持票据、</w:t>
      </w:r>
      <w:r>
        <w:rPr>
          <w:rFonts w:hint="eastAsia" w:ascii="宋体" w:hAnsi="宋体" w:eastAsia="宋体"/>
          <w:sz w:val="24"/>
          <w:szCs w:val="24"/>
          <w:highlight w:val="none"/>
          <w:shd w:val="clear" w:color="auto" w:fill="auto"/>
        </w:rPr>
        <w:t>地方政府债、</w:t>
      </w:r>
      <w:r>
        <w:rPr>
          <w:rFonts w:hint="eastAsia" w:ascii="宋体" w:hAnsi="宋体" w:eastAsia="宋体"/>
          <w:sz w:val="24"/>
          <w:szCs w:val="24"/>
          <w:highlight w:val="none"/>
          <w:shd w:val="clear" w:color="auto" w:fill="auto"/>
          <w:lang w:eastAsia="zh-CN"/>
        </w:rPr>
        <w:t>政府支持机构债、</w:t>
      </w:r>
      <w:r>
        <w:rPr>
          <w:rFonts w:hint="eastAsia" w:ascii="宋体" w:hAnsi="宋体" w:eastAsia="宋体"/>
          <w:sz w:val="24"/>
          <w:szCs w:val="24"/>
          <w:highlight w:val="none"/>
          <w:shd w:val="clear" w:color="auto" w:fill="auto"/>
        </w:rPr>
        <w:t>中期票据、短期融资券、超短期融资券、公司债、私募债、永续债、可转换债券、可交换债券、非公开定向债务融资工具(PPN)、二级资本债、债券型基金、</w:t>
      </w:r>
      <w:r>
        <w:rPr>
          <w:rFonts w:ascii="宋体" w:hAnsi="宋体" w:eastAsia="宋体" w:cs="宋体"/>
          <w:sz w:val="24"/>
          <w:szCs w:val="24"/>
          <w:shd w:val="clear" w:color="auto" w:fill="auto"/>
        </w:rPr>
        <w:t>QDII债券型基金</w:t>
      </w:r>
      <w:r>
        <w:rPr>
          <w:rFonts w:hint="eastAsia" w:ascii="宋体" w:hAnsi="宋体" w:eastAsia="宋体" w:cs="宋体"/>
          <w:sz w:val="24"/>
          <w:szCs w:val="24"/>
          <w:shd w:val="clear" w:color="auto" w:fill="auto"/>
          <w:lang w:eastAsia="zh-CN"/>
        </w:rPr>
        <w:t>、</w:t>
      </w:r>
      <w:r>
        <w:rPr>
          <w:rFonts w:hint="eastAsia" w:ascii="宋体" w:hAnsi="宋体" w:eastAsia="宋体"/>
          <w:sz w:val="24"/>
          <w:szCs w:val="24"/>
          <w:shd w:val="clear" w:color="auto" w:fill="auto"/>
        </w:rPr>
        <w:t>互认基金</w:t>
      </w:r>
      <w:r>
        <w:rPr>
          <w:rFonts w:hint="eastAsia" w:ascii="宋体" w:hAnsi="宋体" w:eastAsia="宋体"/>
          <w:sz w:val="24"/>
          <w:szCs w:val="24"/>
          <w:shd w:val="clear" w:color="auto" w:fill="auto"/>
          <w:lang w:eastAsia="zh-CN"/>
        </w:rPr>
        <w:t>、</w:t>
      </w:r>
      <w:r>
        <w:rPr>
          <w:rFonts w:hint="eastAsia" w:ascii="宋体" w:hAnsi="宋体" w:eastAsia="宋体"/>
          <w:sz w:val="24"/>
          <w:szCs w:val="24"/>
          <w:highlight w:val="none"/>
          <w:shd w:val="clear" w:color="auto" w:fill="auto"/>
        </w:rPr>
        <w:t>债券型基金中基金（FOF）</w:t>
      </w:r>
      <w:r>
        <w:rPr>
          <w:rFonts w:hint="eastAsia" w:ascii="宋体" w:hAnsi="宋体" w:eastAsia="宋体"/>
          <w:sz w:val="24"/>
          <w:szCs w:val="24"/>
          <w:shd w:val="clear" w:color="auto" w:fill="auto"/>
          <w:lang w:eastAsia="zh-CN"/>
        </w:rPr>
        <w:t>，</w:t>
      </w:r>
      <w:r>
        <w:rPr>
          <w:rFonts w:hint="eastAsia" w:ascii="宋体" w:hAnsi="宋体" w:eastAsia="宋体"/>
          <w:sz w:val="24"/>
          <w:szCs w:val="24"/>
          <w:shd w:val="clear" w:color="auto" w:fill="auto"/>
        </w:rPr>
        <w:t>及其他符合监管要求的债权类资产</w:t>
      </w:r>
      <w:r>
        <w:rPr>
          <w:rFonts w:hint="eastAsia" w:ascii="宋体" w:hAnsi="宋体" w:eastAsia="宋体"/>
          <w:sz w:val="24"/>
          <w:szCs w:val="24"/>
          <w:highlight w:val="none"/>
          <w:shd w:val="clear" w:color="auto" w:fill="auto"/>
          <w:lang w:eastAsia="zh-CN"/>
        </w:rPr>
        <w:t>；</w:t>
      </w:r>
    </w:p>
    <w:p>
      <w:pPr>
        <w:spacing w:line="300" w:lineRule="auto"/>
        <w:ind w:firstLine="480" w:firstLineChars="200"/>
        <w:rPr>
          <w:rFonts w:hint="eastAsia" w:ascii="宋体" w:hAnsi="宋体" w:eastAsia="宋体"/>
          <w:sz w:val="24"/>
          <w:szCs w:val="24"/>
          <w:shd w:val="clear" w:color="auto" w:fill="auto"/>
          <w:lang w:eastAsia="zh-CN"/>
        </w:rPr>
      </w:pPr>
      <w:r>
        <w:rPr>
          <w:rFonts w:hint="eastAsia" w:ascii="宋体" w:hAnsi="宋体" w:eastAsia="宋体"/>
          <w:sz w:val="24"/>
          <w:szCs w:val="24"/>
          <w:shd w:val="clear" w:color="auto" w:fill="auto"/>
          <w:lang w:eastAsia="zh-CN"/>
        </w:rPr>
        <w:t>（</w:t>
      </w:r>
      <w:r>
        <w:rPr>
          <w:rFonts w:hint="eastAsia" w:ascii="宋体" w:hAnsi="宋体" w:eastAsia="宋体"/>
          <w:sz w:val="24"/>
          <w:szCs w:val="24"/>
          <w:shd w:val="clear" w:color="auto" w:fill="auto"/>
          <w:lang w:val="en-US" w:eastAsia="zh-CN"/>
        </w:rPr>
        <w:t>2</w:t>
      </w:r>
      <w:r>
        <w:rPr>
          <w:rFonts w:hint="eastAsia" w:ascii="宋体" w:hAnsi="宋体" w:eastAsia="宋体"/>
          <w:sz w:val="24"/>
          <w:szCs w:val="24"/>
          <w:shd w:val="clear" w:color="auto" w:fill="auto"/>
          <w:lang w:eastAsia="zh-CN"/>
        </w:rPr>
        <w:t>）权益类资产</w:t>
      </w:r>
    </w:p>
    <w:p>
      <w:pPr>
        <w:spacing w:line="300" w:lineRule="auto"/>
        <w:ind w:firstLine="480" w:firstLineChars="200"/>
        <w:rPr>
          <w:rFonts w:hint="eastAsia" w:ascii="宋体" w:hAnsi="宋体" w:eastAsia="宋体"/>
          <w:sz w:val="24"/>
          <w:szCs w:val="24"/>
          <w:shd w:val="clear" w:color="auto" w:fill="auto"/>
          <w:lang w:eastAsia="zh-CN"/>
        </w:rPr>
      </w:pPr>
      <w:r>
        <w:rPr>
          <w:rFonts w:hint="eastAsia" w:ascii="宋体" w:hAnsi="宋体" w:eastAsia="宋体"/>
          <w:sz w:val="24"/>
          <w:szCs w:val="24"/>
          <w:shd w:val="clear" w:color="auto" w:fill="auto"/>
          <w:lang w:eastAsia="zh-CN"/>
        </w:rPr>
        <w:t>包括但不限于境内</w:t>
      </w:r>
      <w:r>
        <w:rPr>
          <w:rFonts w:hint="eastAsia" w:ascii="宋体" w:hAnsi="宋体" w:eastAsia="宋体"/>
          <w:sz w:val="24"/>
          <w:szCs w:val="24"/>
          <w:shd w:val="clear" w:color="auto" w:fill="auto"/>
          <w:lang w:val="en-US" w:eastAsia="zh-CN"/>
        </w:rPr>
        <w:t>股票</w:t>
      </w:r>
      <w:r>
        <w:rPr>
          <w:rFonts w:ascii="宋体" w:hAnsi="宋体" w:eastAsia="宋体" w:cs="宋体"/>
          <w:sz w:val="24"/>
          <w:szCs w:val="24"/>
          <w:shd w:val="clear" w:color="auto" w:fill="auto"/>
        </w:rPr>
        <w:t>（包含主板、创业板、科创板、北交所、新三板及其 他依法发行上市的股票，优先股，可参与打新、配股等投资）</w:t>
      </w:r>
      <w:r>
        <w:rPr>
          <w:rFonts w:hint="eastAsia" w:ascii="宋体" w:hAnsi="宋体" w:eastAsia="宋体"/>
          <w:sz w:val="24"/>
          <w:szCs w:val="24"/>
          <w:shd w:val="clear" w:color="auto" w:fill="auto"/>
          <w:lang w:val="en-US" w:eastAsia="zh-CN"/>
        </w:rPr>
        <w:t>、权证、</w:t>
      </w:r>
      <w:r>
        <w:rPr>
          <w:rFonts w:hint="eastAsia" w:ascii="宋体" w:hAnsi="宋体" w:eastAsia="宋体"/>
          <w:sz w:val="24"/>
          <w:szCs w:val="24"/>
          <w:shd w:val="clear" w:color="auto" w:fill="auto"/>
          <w:lang w:eastAsia="zh-CN"/>
        </w:rPr>
        <w:t>股票型基金、混合型基金、QDII股票型基金、QDII混合型基金、股票型基金中基金（FOF）、混合型基金中基金（FOF）、</w:t>
      </w:r>
      <w:r>
        <w:rPr>
          <w:rFonts w:hint="eastAsia" w:ascii="宋体" w:hAnsi="宋体" w:eastAsia="宋体"/>
          <w:sz w:val="24"/>
          <w:szCs w:val="24"/>
          <w:highlight w:val="none"/>
          <w:shd w:val="clear" w:color="auto" w:fill="auto"/>
        </w:rPr>
        <w:t>公开募集基础设施证券投资基金（REITs）</w:t>
      </w:r>
      <w:r>
        <w:rPr>
          <w:rFonts w:hint="eastAsia" w:ascii="宋体" w:hAnsi="宋体" w:eastAsia="宋体"/>
          <w:sz w:val="24"/>
          <w:szCs w:val="24"/>
          <w:highlight w:val="none"/>
          <w:shd w:val="clear" w:color="auto" w:fill="auto"/>
          <w:lang w:eastAsia="zh-CN"/>
        </w:rPr>
        <w:t>、</w:t>
      </w:r>
      <w:r>
        <w:rPr>
          <w:rFonts w:hint="eastAsia" w:ascii="宋体" w:hAnsi="宋体" w:eastAsia="宋体"/>
          <w:sz w:val="24"/>
          <w:szCs w:val="24"/>
          <w:highlight w:val="none"/>
          <w:shd w:val="clear" w:color="auto" w:fill="auto"/>
        </w:rPr>
        <w:t>互认基金</w:t>
      </w:r>
      <w:r>
        <w:rPr>
          <w:rFonts w:hint="eastAsia" w:ascii="宋体" w:hAnsi="宋体" w:eastAsia="宋体"/>
          <w:sz w:val="24"/>
          <w:szCs w:val="24"/>
          <w:highlight w:val="none"/>
          <w:shd w:val="clear" w:color="auto" w:fill="auto"/>
          <w:lang w:eastAsia="zh-CN"/>
        </w:rPr>
        <w:t>，</w:t>
      </w:r>
      <w:r>
        <w:rPr>
          <w:rFonts w:hint="eastAsia" w:ascii="宋体" w:hAnsi="宋体" w:eastAsia="宋体"/>
          <w:sz w:val="24"/>
          <w:szCs w:val="24"/>
          <w:shd w:val="clear" w:color="auto" w:fill="auto"/>
          <w:lang w:eastAsia="zh-CN"/>
        </w:rPr>
        <w:t>及其他符合监管要求的权益类资产；</w:t>
      </w:r>
    </w:p>
    <w:p>
      <w:pPr>
        <w:spacing w:line="300" w:lineRule="auto"/>
        <w:ind w:firstLine="480" w:firstLineChars="200"/>
        <w:rPr>
          <w:rFonts w:hint="eastAsia" w:ascii="宋体" w:hAnsi="宋体" w:eastAsia="宋体"/>
          <w:sz w:val="24"/>
          <w:szCs w:val="24"/>
          <w:shd w:val="clear" w:color="auto" w:fill="auto"/>
          <w:lang w:eastAsia="zh-CN"/>
        </w:rPr>
      </w:pPr>
      <w:r>
        <w:rPr>
          <w:rFonts w:hint="eastAsia" w:ascii="宋体" w:hAnsi="宋体" w:eastAsia="宋体"/>
          <w:sz w:val="24"/>
          <w:szCs w:val="24"/>
          <w:shd w:val="clear" w:color="auto" w:fill="auto"/>
          <w:lang w:eastAsia="zh-CN"/>
        </w:rPr>
        <w:t>（</w:t>
      </w:r>
      <w:r>
        <w:rPr>
          <w:rFonts w:hint="eastAsia" w:ascii="宋体" w:hAnsi="宋体" w:eastAsia="宋体"/>
          <w:sz w:val="24"/>
          <w:szCs w:val="24"/>
          <w:shd w:val="clear" w:color="auto" w:fill="auto"/>
          <w:lang w:val="en-US" w:eastAsia="zh-CN"/>
        </w:rPr>
        <w:t>3</w:t>
      </w:r>
      <w:r>
        <w:rPr>
          <w:rFonts w:hint="eastAsia" w:ascii="宋体" w:hAnsi="宋体" w:eastAsia="宋体"/>
          <w:sz w:val="24"/>
          <w:szCs w:val="24"/>
          <w:shd w:val="clear" w:color="auto" w:fill="auto"/>
          <w:lang w:eastAsia="zh-CN"/>
        </w:rPr>
        <w:t>）商品及衍生品类资产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shd w:val="clear" w:color="auto" w:fill="auto"/>
          <w:lang w:eastAsia="zh-CN"/>
        </w:rPr>
        <w:t>包括但不限于商品型等另类投资基金、股指期货、国债期货、商品期货、利率互换、收益互换、标准化信用风险缓释工具</w:t>
      </w:r>
      <w:r>
        <w:rPr>
          <w:rFonts w:hint="eastAsia" w:ascii="宋体" w:hAnsi="宋体" w:eastAsia="宋体"/>
          <w:sz w:val="24"/>
          <w:szCs w:val="24"/>
          <w:shd w:val="clear" w:color="auto" w:fill="auto"/>
        </w:rPr>
        <w:t>（包括信用风险缓释凭证（CRMW）、信用联结票据（CLN）等）</w:t>
      </w:r>
      <w:r>
        <w:rPr>
          <w:rFonts w:hint="eastAsia" w:ascii="宋体" w:hAnsi="宋体" w:eastAsia="宋体"/>
          <w:sz w:val="24"/>
          <w:szCs w:val="24"/>
          <w:shd w:val="clear" w:color="auto" w:fill="auto"/>
          <w:lang w:eastAsia="zh-CN"/>
        </w:rPr>
        <w:t>、标准债券远期、交易所上市期权等，及其他符合监管要求的商品及衍生品类资产（本理财产品管理人在直接投资于金融衍生品类资产前，需先获得相应的衍生产品交易资格）。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7"/>
        <w:gridCol w:w="3563"/>
        <w:tblGridChange w:id="0">
          <w:tblGrid>
            <w:gridCol w:w="141"/>
            <w:gridCol w:w="4536"/>
            <w:gridCol w:w="3563"/>
          </w:tblGrid>
        </w:tblGridChange>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677" w:type="dxa"/>
          </w:tcPr>
          <w:p>
            <w:pPr>
              <w:spacing w:line="300" w:lineRule="auto"/>
              <w:jc w:val="center"/>
              <w:rPr>
                <w:rFonts w:hint="default" w:ascii="宋体" w:hAnsi="宋体" w:eastAsia="宋体" w:cstheme="minorBidi"/>
                <w:sz w:val="24"/>
                <w:szCs w:val="24"/>
                <w:highlight w:val="none"/>
                <w:vertAlign w:val="baseline"/>
                <w:lang w:val="en-US" w:eastAsia="zh-CN" w:bidi="ar"/>
              </w:rPr>
            </w:pPr>
            <w:r>
              <w:rPr>
                <w:rFonts w:hint="eastAsia" w:ascii="宋体" w:hAnsi="宋体" w:eastAsia="宋体" w:cstheme="minorBidi"/>
                <w:sz w:val="24"/>
                <w:szCs w:val="24"/>
                <w:highlight w:val="none"/>
                <w:vertAlign w:val="baseline"/>
                <w:lang w:val="en-US" w:eastAsia="zh-CN" w:bidi="ar"/>
              </w:rPr>
              <w:t>资产类别</w:t>
            </w:r>
          </w:p>
        </w:tc>
        <w:tc>
          <w:tcPr>
            <w:tcW w:w="3563" w:type="dxa"/>
          </w:tcPr>
          <w:p>
            <w:pPr>
              <w:spacing w:line="300" w:lineRule="auto"/>
              <w:jc w:val="center"/>
              <w:rPr>
                <w:rFonts w:hint="default" w:ascii="宋体" w:hAnsi="宋体" w:eastAsia="宋体" w:cstheme="minorBidi"/>
                <w:sz w:val="24"/>
                <w:szCs w:val="24"/>
                <w:highlight w:val="none"/>
                <w:vertAlign w:val="baseline"/>
                <w:lang w:val="en-US" w:eastAsia="zh-CN" w:bidi="ar"/>
              </w:rPr>
            </w:pPr>
            <w:r>
              <w:rPr>
                <w:rFonts w:hint="eastAsia" w:ascii="宋体" w:hAnsi="宋体" w:eastAsia="宋体" w:cstheme="minorBidi"/>
                <w:sz w:val="24"/>
                <w:szCs w:val="24"/>
                <w:highlight w:val="none"/>
                <w:vertAlign w:val="baseline"/>
                <w:lang w:val="en-US" w:eastAsia="zh-CN"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677" w:type="dxa"/>
          </w:tcPr>
          <w:p>
            <w:pPr>
              <w:spacing w:line="300" w:lineRule="auto"/>
              <w:jc w:val="center"/>
              <w:rPr>
                <w:rFonts w:hint="default" w:ascii="宋体" w:hAnsi="宋体" w:eastAsia="宋体" w:cstheme="minorBidi"/>
                <w:sz w:val="24"/>
                <w:szCs w:val="24"/>
                <w:highlight w:val="none"/>
                <w:vertAlign w:val="baseline"/>
                <w:lang w:val="en-US" w:eastAsia="zh-CN" w:bidi="ar"/>
              </w:rPr>
            </w:pPr>
            <w:r>
              <w:rPr>
                <w:rFonts w:hint="eastAsia" w:ascii="宋体" w:hAnsi="宋体" w:eastAsia="宋体" w:cstheme="minorBidi"/>
                <w:sz w:val="24"/>
                <w:szCs w:val="24"/>
                <w:highlight w:val="none"/>
                <w:vertAlign w:val="baseline"/>
                <w:lang w:val="en-US" w:eastAsia="zh-CN" w:bidi="ar"/>
              </w:rPr>
              <w:t>固定收益类资产</w:t>
            </w:r>
          </w:p>
        </w:tc>
        <w:tc>
          <w:tcPr>
            <w:tcW w:w="3563" w:type="dxa"/>
          </w:tcPr>
          <w:p>
            <w:pPr>
              <w:spacing w:line="300" w:lineRule="auto"/>
              <w:jc w:val="center"/>
              <w:rPr>
                <w:rFonts w:hint="default" w:ascii="宋体" w:hAnsi="宋体" w:eastAsia="宋体" w:cstheme="minorBidi"/>
                <w:sz w:val="24"/>
                <w:szCs w:val="24"/>
                <w:highlight w:val="none"/>
                <w:vertAlign w:val="baseline"/>
                <w:lang w:val="en-US" w:eastAsia="zh-CN" w:bidi="ar"/>
              </w:rPr>
            </w:pPr>
            <w:r>
              <w:rPr>
                <w:rFonts w:hint="eastAsia" w:ascii="宋体" w:hAnsi="宋体" w:eastAsia="宋体" w:cstheme="minorBidi"/>
                <w:sz w:val="24"/>
                <w:szCs w:val="24"/>
                <w:highlight w:val="none"/>
                <w:vertAlign w:val="baseline"/>
                <w:lang w:val="en-US" w:eastAsia="zh-CN" w:bidi="ar"/>
              </w:rPr>
              <w:t>80%（含）-100%</w:t>
            </w:r>
            <w:r>
              <w:rPr>
                <w:rFonts w:hint="eastAsia" w:ascii="宋体" w:hAnsi="宋体" w:eastAsia="宋体"/>
                <w:sz w:val="24"/>
                <w:szCs w:val="24"/>
                <w:lang w:eastAsia="zh-CN"/>
              </w:rPr>
              <w:t>（</w:t>
            </w:r>
            <w:r>
              <w:rPr>
                <w:rFonts w:hint="eastAsia" w:ascii="宋体" w:hAnsi="宋体" w:eastAsia="宋体"/>
                <w:sz w:val="24"/>
                <w:szCs w:val="24"/>
                <w:lang w:val="en-US" w:eastAsia="zh-CN"/>
              </w:rPr>
              <w:t>含</w:t>
            </w:r>
            <w:r>
              <w:rPr>
                <w:rFonts w:hint="eastAsia" w:ascii="宋体" w:hAnsi="宋体" w:eastAsia="宋体"/>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4677" w:type="dxa"/>
            <w:vAlign w:val="top"/>
          </w:tcPr>
          <w:p>
            <w:pPr>
              <w:spacing w:line="300" w:lineRule="auto"/>
              <w:jc w:val="center"/>
              <w:rPr>
                <w:rFonts w:hint="eastAsia" w:eastAsia="宋体" w:asciiTheme="minorHAnsi" w:hAnsiTheme="minorHAnsi" w:cstheme="minorBidi"/>
                <w:kern w:val="2"/>
                <w:sz w:val="21"/>
                <w:szCs w:val="22"/>
                <w:highlight w:val="none"/>
                <w:lang w:val="en-US" w:eastAsia="zh-CN" w:bidi="ar-SA"/>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3563" w:type="dxa"/>
            <w:vAlign w:val="top"/>
          </w:tcPr>
          <w:p>
            <w:pPr>
              <w:spacing w:line="300" w:lineRule="auto"/>
              <w:jc w:val="center"/>
              <w:rPr>
                <w:rFonts w:hint="eastAsia" w:ascii="宋体" w:hAnsi="宋体" w:eastAsia="宋体" w:cstheme="minorBidi"/>
                <w:kern w:val="2"/>
                <w:sz w:val="24"/>
                <w:szCs w:val="24"/>
                <w:highlight w:val="none"/>
                <w:lang w:val="en-US" w:eastAsia="zh-CN" w:bidi="ar-SA"/>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0" w:type="auto"/>
            <w:vAlign w:val="top"/>
          </w:tcPr>
          <w:p>
            <w:pPr>
              <w:spacing w:line="300" w:lineRule="auto"/>
              <w:jc w:val="center"/>
              <w:rPr>
                <w:rFonts w:hint="eastAsia" w:ascii="宋体" w:hAnsi="宋体" w:eastAsia="宋体" w:cstheme="minorBidi"/>
                <w:kern w:val="2"/>
                <w:sz w:val="24"/>
                <w:szCs w:val="24"/>
                <w:highlight w:val="none"/>
                <w:lang w:val="en-US" w:eastAsia="zh-CN" w:bidi="ar-SA"/>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0" w:type="auto"/>
            <w:vAlign w:val="top"/>
          </w:tcPr>
          <w:p>
            <w:pPr>
              <w:spacing w:line="300" w:lineRule="auto"/>
              <w:jc w:val="center"/>
              <w:rPr>
                <w:rFonts w:hint="eastAsia" w:ascii="宋体" w:hAnsi="宋体" w:eastAsia="宋体" w:cstheme="minorBidi"/>
                <w:kern w:val="2"/>
                <w:sz w:val="24"/>
                <w:szCs w:val="24"/>
                <w:highlight w:val="none"/>
                <w:lang w:val="en-US" w:eastAsia="zh-CN" w:bidi="ar-SA"/>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ind w:firstLine="480" w:firstLineChars="200"/>
        <w:jc w:val="left"/>
        <w:rPr>
          <w:rFonts w:hint="eastAsia" w:ascii="宋体" w:hAnsi="宋体" w:eastAsia="宋体"/>
          <w:sz w:val="24"/>
          <w:szCs w:val="24"/>
          <w:highlight w:val="none"/>
          <w:lang w:bidi="ar"/>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7"/>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default" w:ascii="宋体" w:hAnsi="宋体" w:eastAsia="宋体"/>
          <w:sz w:val="24"/>
          <w:szCs w:val="24"/>
          <w:lang w:val="en-US" w:eastAsia="zh-CN"/>
        </w:rPr>
      </w:pPr>
      <w:r>
        <w:rPr>
          <w:rFonts w:hint="eastAsia" w:ascii="宋体" w:hAnsi="宋体" w:eastAsia="宋体"/>
          <w:sz w:val="24"/>
          <w:szCs w:val="24"/>
          <w:lang w:val="en-US" w:eastAsia="zh-CN"/>
        </w:rPr>
        <w:t>1.资产配置策略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default" w:ascii="宋体" w:hAnsi="宋体" w:eastAsia="宋体"/>
          <w:sz w:val="24"/>
          <w:szCs w:val="24"/>
          <w:lang w:val="en-US" w:eastAsia="zh-CN"/>
        </w:rPr>
      </w:pPr>
      <w:r>
        <w:rPr>
          <w:rFonts w:hint="eastAsia" w:ascii="宋体" w:hAnsi="宋体" w:eastAsia="宋体"/>
          <w:sz w:val="24"/>
          <w:szCs w:val="24"/>
          <w:lang w:val="en-US" w:eastAsia="zh-CN"/>
        </w:rPr>
        <w:t>2.债券投资策略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（1）久期配置策略：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（2）信用类债券投资策略：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（3）息差策略：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1"/>
          <w:numId w:val="0"/>
        </w:numPr>
        <w:spacing w:line="300" w:lineRule="auto"/>
        <w:ind w:firstLine="480" w:firstLineChars="200"/>
        <w:jc w:val="left"/>
        <w:outlineLvl w:val="1"/>
        <w:rPr>
          <w:rFonts w:ascii="宋体" w:hAnsi="宋体" w:eastAsia="宋体"/>
          <w:sz w:val="24"/>
          <w:szCs w:val="24"/>
          <w:highlight w:val="yellow"/>
        </w:rPr>
      </w:pPr>
      <w:r>
        <w:rPr>
          <w:rFonts w:hint="eastAsia" w:ascii="宋体" w:hAnsi="宋体" w:eastAsia="宋体"/>
          <w:sz w:val="24"/>
          <w:szCs w:val="24"/>
          <w:lang w:val="en-US" w:eastAsia="zh-CN"/>
        </w:rPr>
        <w:t>3.基金投资策略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val="en-US" w:eastAsia="zh-CN"/>
        </w:rPr>
        <w:t>综合考虑基金管理人（含资产管理人）旗下基金综合表现、基金经理过往业绩、基金费率等情况，通过宏观经济分析、债券市场分析、股票市场分析等，进行基金投资。</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b w:val="0"/>
          <w:bCs w:val="0"/>
          <w:sz w:val="24"/>
          <w:szCs w:val="24"/>
          <w:highlight w:val="none"/>
        </w:rPr>
        <w:t>3.</w:t>
      </w:r>
      <w:r>
        <w:rPr>
          <w:rFonts w:hint="eastAsia" w:ascii="宋体" w:hAnsi="宋体" w:eastAsia="宋体"/>
          <w:b/>
          <w:bCs/>
          <w:sz w:val="24"/>
          <w:szCs w:val="24"/>
          <w:highlight w:val="none"/>
        </w:rPr>
        <w:t>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13</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jc w:val="left"/>
        <w:outlineLvl w:val="1"/>
        <w:rPr>
          <w:rFonts w:hint="eastAsia" w:ascii="宋体" w:hAnsi="宋体" w:cs="宋体"/>
          <w:sz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收取理财产品超额业绩报酬。</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w:t>
      </w:r>
      <w:r>
        <w:rPr>
          <w:rFonts w:hint="eastAsia" w:ascii="宋体" w:hAnsi="宋体" w:eastAsia="宋体"/>
          <w:sz w:val="24"/>
          <w:szCs w:val="24"/>
          <w:highlight w:val="none"/>
        </w:rPr>
        <w:t>持有的份额数。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银行股份有限公司，地址为天津市海河东路</w:t>
      </w:r>
      <w:r>
        <w:rPr>
          <w:rFonts w:ascii="宋体" w:hAnsi="宋体" w:eastAsia="宋体"/>
          <w:sz w:val="24"/>
          <w:szCs w:val="24"/>
          <w:highlight w:val="none"/>
        </w:rPr>
        <w:t>218号渤海银行大厦，</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95541</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C507B729"/>
    <w:multiLevelType w:val="singleLevel"/>
    <w:tmpl w:val="C507B729"/>
    <w:lvl w:ilvl="0" w:tentative="0">
      <w:start w:val="4"/>
      <w:numFmt w:val="decimal"/>
      <w:lvlText w:val="%1."/>
      <w:lvlJc w:val="left"/>
      <w:pPr>
        <w:tabs>
          <w:tab w:val="left" w:pos="312"/>
        </w:tabs>
      </w:pPr>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370F241"/>
    <w:multiLevelType w:val="singleLevel"/>
    <w:tmpl w:val="4370F241"/>
    <w:lvl w:ilvl="0" w:tentative="0">
      <w:start w:val="1"/>
      <w:numFmt w:val="decimal"/>
      <w:suff w:val="nothing"/>
      <w:lvlText w:val="（%1）"/>
      <w:lvlJc w:val="left"/>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8"/>
  </w:num>
  <w:num w:numId="5">
    <w:abstractNumId w:val="6"/>
  </w:num>
  <w:num w:numId="6">
    <w:abstractNumId w:val="5"/>
  </w:num>
  <w:num w:numId="7">
    <w:abstractNumId w:val="0"/>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35A3"/>
    <w:rsid w:val="00004B79"/>
    <w:rsid w:val="00006524"/>
    <w:rsid w:val="0001112B"/>
    <w:rsid w:val="00024CA9"/>
    <w:rsid w:val="00032C9C"/>
    <w:rsid w:val="00036E72"/>
    <w:rsid w:val="000506F9"/>
    <w:rsid w:val="00051841"/>
    <w:rsid w:val="00061613"/>
    <w:rsid w:val="000645E4"/>
    <w:rsid w:val="00097A18"/>
    <w:rsid w:val="000A4541"/>
    <w:rsid w:val="000A69DE"/>
    <w:rsid w:val="000B4D75"/>
    <w:rsid w:val="000B6D24"/>
    <w:rsid w:val="000B7618"/>
    <w:rsid w:val="000C0E42"/>
    <w:rsid w:val="000D10C8"/>
    <w:rsid w:val="000D12E4"/>
    <w:rsid w:val="000D6B3E"/>
    <w:rsid w:val="000E074E"/>
    <w:rsid w:val="000E5C50"/>
    <w:rsid w:val="000E7773"/>
    <w:rsid w:val="000F0D96"/>
    <w:rsid w:val="000F6272"/>
    <w:rsid w:val="00103833"/>
    <w:rsid w:val="00110210"/>
    <w:rsid w:val="00124E2B"/>
    <w:rsid w:val="0012707B"/>
    <w:rsid w:val="001421F8"/>
    <w:rsid w:val="00147E19"/>
    <w:rsid w:val="00150844"/>
    <w:rsid w:val="0016025F"/>
    <w:rsid w:val="00163B7B"/>
    <w:rsid w:val="00163C19"/>
    <w:rsid w:val="00167828"/>
    <w:rsid w:val="001807C3"/>
    <w:rsid w:val="00195677"/>
    <w:rsid w:val="001959AE"/>
    <w:rsid w:val="001A06FF"/>
    <w:rsid w:val="001A3EF5"/>
    <w:rsid w:val="001B21E7"/>
    <w:rsid w:val="001E028A"/>
    <w:rsid w:val="001E1AF9"/>
    <w:rsid w:val="0021517C"/>
    <w:rsid w:val="002154F6"/>
    <w:rsid w:val="00222AB8"/>
    <w:rsid w:val="00224686"/>
    <w:rsid w:val="002321DC"/>
    <w:rsid w:val="00232691"/>
    <w:rsid w:val="00234FEC"/>
    <w:rsid w:val="002625B5"/>
    <w:rsid w:val="00272F8D"/>
    <w:rsid w:val="00273D11"/>
    <w:rsid w:val="00285E2C"/>
    <w:rsid w:val="00286579"/>
    <w:rsid w:val="00291101"/>
    <w:rsid w:val="00293FC9"/>
    <w:rsid w:val="002A270F"/>
    <w:rsid w:val="002A2B42"/>
    <w:rsid w:val="002A42EF"/>
    <w:rsid w:val="002A4A21"/>
    <w:rsid w:val="002C758A"/>
    <w:rsid w:val="002D194A"/>
    <w:rsid w:val="002D3523"/>
    <w:rsid w:val="002E0872"/>
    <w:rsid w:val="002F5161"/>
    <w:rsid w:val="00304EF1"/>
    <w:rsid w:val="00306602"/>
    <w:rsid w:val="003071D4"/>
    <w:rsid w:val="00315230"/>
    <w:rsid w:val="00323E61"/>
    <w:rsid w:val="00337006"/>
    <w:rsid w:val="00337791"/>
    <w:rsid w:val="00345243"/>
    <w:rsid w:val="0034529F"/>
    <w:rsid w:val="0035184A"/>
    <w:rsid w:val="00352E7B"/>
    <w:rsid w:val="0036535A"/>
    <w:rsid w:val="00377CFA"/>
    <w:rsid w:val="003847C6"/>
    <w:rsid w:val="00393821"/>
    <w:rsid w:val="003A3EF0"/>
    <w:rsid w:val="003A6976"/>
    <w:rsid w:val="003C0613"/>
    <w:rsid w:val="003C0CD7"/>
    <w:rsid w:val="003C437F"/>
    <w:rsid w:val="003D4B45"/>
    <w:rsid w:val="003D61BA"/>
    <w:rsid w:val="003E00C3"/>
    <w:rsid w:val="003E6814"/>
    <w:rsid w:val="00401A62"/>
    <w:rsid w:val="00407D60"/>
    <w:rsid w:val="00415C7E"/>
    <w:rsid w:val="00423C7C"/>
    <w:rsid w:val="00426D8C"/>
    <w:rsid w:val="00432667"/>
    <w:rsid w:val="0044767E"/>
    <w:rsid w:val="0045625D"/>
    <w:rsid w:val="00456973"/>
    <w:rsid w:val="00463847"/>
    <w:rsid w:val="00465DCE"/>
    <w:rsid w:val="00475B90"/>
    <w:rsid w:val="00482C80"/>
    <w:rsid w:val="0048516D"/>
    <w:rsid w:val="0048653D"/>
    <w:rsid w:val="00490A73"/>
    <w:rsid w:val="004948FE"/>
    <w:rsid w:val="004A1854"/>
    <w:rsid w:val="004A236F"/>
    <w:rsid w:val="004A24DE"/>
    <w:rsid w:val="004A3A55"/>
    <w:rsid w:val="004C6CAC"/>
    <w:rsid w:val="004D1068"/>
    <w:rsid w:val="004D2899"/>
    <w:rsid w:val="004E4592"/>
    <w:rsid w:val="004F07A5"/>
    <w:rsid w:val="004F52C7"/>
    <w:rsid w:val="004F5F9D"/>
    <w:rsid w:val="00502807"/>
    <w:rsid w:val="00502E84"/>
    <w:rsid w:val="00514F8A"/>
    <w:rsid w:val="005153AB"/>
    <w:rsid w:val="00515C52"/>
    <w:rsid w:val="00530734"/>
    <w:rsid w:val="00530B5B"/>
    <w:rsid w:val="0053234A"/>
    <w:rsid w:val="005335D7"/>
    <w:rsid w:val="00534088"/>
    <w:rsid w:val="00542C95"/>
    <w:rsid w:val="0055047D"/>
    <w:rsid w:val="00567A24"/>
    <w:rsid w:val="00574352"/>
    <w:rsid w:val="00582F7A"/>
    <w:rsid w:val="0059165A"/>
    <w:rsid w:val="00595056"/>
    <w:rsid w:val="00597626"/>
    <w:rsid w:val="005A1ABF"/>
    <w:rsid w:val="005A4FBD"/>
    <w:rsid w:val="005B2754"/>
    <w:rsid w:val="005C1438"/>
    <w:rsid w:val="005C518A"/>
    <w:rsid w:val="005D793C"/>
    <w:rsid w:val="005E089E"/>
    <w:rsid w:val="005E6937"/>
    <w:rsid w:val="005F42D8"/>
    <w:rsid w:val="00602943"/>
    <w:rsid w:val="006033A7"/>
    <w:rsid w:val="00605862"/>
    <w:rsid w:val="00611923"/>
    <w:rsid w:val="00625BDB"/>
    <w:rsid w:val="00627B3B"/>
    <w:rsid w:val="006376F3"/>
    <w:rsid w:val="00637DE4"/>
    <w:rsid w:val="006428F4"/>
    <w:rsid w:val="00657B03"/>
    <w:rsid w:val="006657E6"/>
    <w:rsid w:val="00672892"/>
    <w:rsid w:val="006747AF"/>
    <w:rsid w:val="00675769"/>
    <w:rsid w:val="006760F2"/>
    <w:rsid w:val="006819D7"/>
    <w:rsid w:val="00683B72"/>
    <w:rsid w:val="0068684B"/>
    <w:rsid w:val="006A143E"/>
    <w:rsid w:val="006A20BE"/>
    <w:rsid w:val="006A4900"/>
    <w:rsid w:val="006A6582"/>
    <w:rsid w:val="006B4097"/>
    <w:rsid w:val="006B6209"/>
    <w:rsid w:val="006C777F"/>
    <w:rsid w:val="006D4EEF"/>
    <w:rsid w:val="006E107C"/>
    <w:rsid w:val="006E74C4"/>
    <w:rsid w:val="006F47C1"/>
    <w:rsid w:val="006F60A6"/>
    <w:rsid w:val="0070138F"/>
    <w:rsid w:val="00702580"/>
    <w:rsid w:val="00724287"/>
    <w:rsid w:val="00743FA5"/>
    <w:rsid w:val="00744E2D"/>
    <w:rsid w:val="00745F02"/>
    <w:rsid w:val="007472A6"/>
    <w:rsid w:val="00751344"/>
    <w:rsid w:val="007519CB"/>
    <w:rsid w:val="00752553"/>
    <w:rsid w:val="007551B2"/>
    <w:rsid w:val="007559D4"/>
    <w:rsid w:val="00761C97"/>
    <w:rsid w:val="00770105"/>
    <w:rsid w:val="00786181"/>
    <w:rsid w:val="007A3AE2"/>
    <w:rsid w:val="007B0FDF"/>
    <w:rsid w:val="007B2E50"/>
    <w:rsid w:val="007B5637"/>
    <w:rsid w:val="007C38D0"/>
    <w:rsid w:val="007E691C"/>
    <w:rsid w:val="007F356D"/>
    <w:rsid w:val="008005D6"/>
    <w:rsid w:val="00801041"/>
    <w:rsid w:val="00802662"/>
    <w:rsid w:val="00806874"/>
    <w:rsid w:val="00807800"/>
    <w:rsid w:val="00810912"/>
    <w:rsid w:val="00811E62"/>
    <w:rsid w:val="00822719"/>
    <w:rsid w:val="00826B53"/>
    <w:rsid w:val="00830BF6"/>
    <w:rsid w:val="00842102"/>
    <w:rsid w:val="008502EC"/>
    <w:rsid w:val="008519ED"/>
    <w:rsid w:val="008616C8"/>
    <w:rsid w:val="00863D8A"/>
    <w:rsid w:val="008739B2"/>
    <w:rsid w:val="00876684"/>
    <w:rsid w:val="00880443"/>
    <w:rsid w:val="00887F98"/>
    <w:rsid w:val="0089136D"/>
    <w:rsid w:val="00895667"/>
    <w:rsid w:val="008A0DDF"/>
    <w:rsid w:val="008B40A4"/>
    <w:rsid w:val="008C69FC"/>
    <w:rsid w:val="008D293D"/>
    <w:rsid w:val="008D43C5"/>
    <w:rsid w:val="008D54DA"/>
    <w:rsid w:val="008E45B9"/>
    <w:rsid w:val="008F0B03"/>
    <w:rsid w:val="00910843"/>
    <w:rsid w:val="0092237C"/>
    <w:rsid w:val="00923045"/>
    <w:rsid w:val="00932B8D"/>
    <w:rsid w:val="00936CA0"/>
    <w:rsid w:val="009374FA"/>
    <w:rsid w:val="00937CB2"/>
    <w:rsid w:val="0094046E"/>
    <w:rsid w:val="00942924"/>
    <w:rsid w:val="009455A2"/>
    <w:rsid w:val="00954DD2"/>
    <w:rsid w:val="00955BA9"/>
    <w:rsid w:val="00957DD5"/>
    <w:rsid w:val="009617AB"/>
    <w:rsid w:val="0097436A"/>
    <w:rsid w:val="0097731B"/>
    <w:rsid w:val="009841CB"/>
    <w:rsid w:val="00993214"/>
    <w:rsid w:val="0099625C"/>
    <w:rsid w:val="009A0609"/>
    <w:rsid w:val="009A78C9"/>
    <w:rsid w:val="009D6D2F"/>
    <w:rsid w:val="009E5A61"/>
    <w:rsid w:val="00A00099"/>
    <w:rsid w:val="00A1581A"/>
    <w:rsid w:val="00A30EE7"/>
    <w:rsid w:val="00A421B5"/>
    <w:rsid w:val="00A61C4A"/>
    <w:rsid w:val="00A71587"/>
    <w:rsid w:val="00A836EC"/>
    <w:rsid w:val="00A84465"/>
    <w:rsid w:val="00A845A7"/>
    <w:rsid w:val="00A902BA"/>
    <w:rsid w:val="00A91C60"/>
    <w:rsid w:val="00A9432D"/>
    <w:rsid w:val="00A95F46"/>
    <w:rsid w:val="00A97EAB"/>
    <w:rsid w:val="00AB294B"/>
    <w:rsid w:val="00AB2BA9"/>
    <w:rsid w:val="00AD2EE3"/>
    <w:rsid w:val="00AD4EFF"/>
    <w:rsid w:val="00AF117E"/>
    <w:rsid w:val="00AF6071"/>
    <w:rsid w:val="00B11174"/>
    <w:rsid w:val="00B13719"/>
    <w:rsid w:val="00B21BA1"/>
    <w:rsid w:val="00B317BB"/>
    <w:rsid w:val="00B32539"/>
    <w:rsid w:val="00B44BE6"/>
    <w:rsid w:val="00B47E14"/>
    <w:rsid w:val="00B508C1"/>
    <w:rsid w:val="00B67155"/>
    <w:rsid w:val="00B7215B"/>
    <w:rsid w:val="00B90DA9"/>
    <w:rsid w:val="00B910EC"/>
    <w:rsid w:val="00BA077E"/>
    <w:rsid w:val="00BB2A3C"/>
    <w:rsid w:val="00BB6A0F"/>
    <w:rsid w:val="00BC1A16"/>
    <w:rsid w:val="00BC7B12"/>
    <w:rsid w:val="00BC7FF6"/>
    <w:rsid w:val="00BD4BBA"/>
    <w:rsid w:val="00BE46E6"/>
    <w:rsid w:val="00BE7624"/>
    <w:rsid w:val="00BF175D"/>
    <w:rsid w:val="00BF73F5"/>
    <w:rsid w:val="00C00F56"/>
    <w:rsid w:val="00C1201E"/>
    <w:rsid w:val="00C13F12"/>
    <w:rsid w:val="00C1602F"/>
    <w:rsid w:val="00C24BBE"/>
    <w:rsid w:val="00C34756"/>
    <w:rsid w:val="00C35618"/>
    <w:rsid w:val="00C36DD1"/>
    <w:rsid w:val="00C44A92"/>
    <w:rsid w:val="00C53692"/>
    <w:rsid w:val="00C5440C"/>
    <w:rsid w:val="00C57E31"/>
    <w:rsid w:val="00C66903"/>
    <w:rsid w:val="00C66FFE"/>
    <w:rsid w:val="00C83FE0"/>
    <w:rsid w:val="00C85201"/>
    <w:rsid w:val="00C918BF"/>
    <w:rsid w:val="00C92C3D"/>
    <w:rsid w:val="00C95E82"/>
    <w:rsid w:val="00CB17A0"/>
    <w:rsid w:val="00CB4CCD"/>
    <w:rsid w:val="00CC3AFA"/>
    <w:rsid w:val="00CD1627"/>
    <w:rsid w:val="00CD40BE"/>
    <w:rsid w:val="00CD6285"/>
    <w:rsid w:val="00CF09F7"/>
    <w:rsid w:val="00CF19EB"/>
    <w:rsid w:val="00CF58E3"/>
    <w:rsid w:val="00D03AA4"/>
    <w:rsid w:val="00D1596F"/>
    <w:rsid w:val="00D4199C"/>
    <w:rsid w:val="00D509F2"/>
    <w:rsid w:val="00D51C1B"/>
    <w:rsid w:val="00D55EAE"/>
    <w:rsid w:val="00D64FD1"/>
    <w:rsid w:val="00D7058A"/>
    <w:rsid w:val="00D779BC"/>
    <w:rsid w:val="00D77C56"/>
    <w:rsid w:val="00D851F9"/>
    <w:rsid w:val="00D94D88"/>
    <w:rsid w:val="00DA3C75"/>
    <w:rsid w:val="00DB4447"/>
    <w:rsid w:val="00DD3F60"/>
    <w:rsid w:val="00DD6EEF"/>
    <w:rsid w:val="00DE03D4"/>
    <w:rsid w:val="00DE22CB"/>
    <w:rsid w:val="00DE3CCF"/>
    <w:rsid w:val="00DE4D92"/>
    <w:rsid w:val="00E07DC8"/>
    <w:rsid w:val="00E176A4"/>
    <w:rsid w:val="00E35E1E"/>
    <w:rsid w:val="00E3707F"/>
    <w:rsid w:val="00E414D0"/>
    <w:rsid w:val="00E44E52"/>
    <w:rsid w:val="00E5200A"/>
    <w:rsid w:val="00E5533B"/>
    <w:rsid w:val="00E60B89"/>
    <w:rsid w:val="00E61653"/>
    <w:rsid w:val="00E9119D"/>
    <w:rsid w:val="00EA4A18"/>
    <w:rsid w:val="00EB1E1E"/>
    <w:rsid w:val="00EB2749"/>
    <w:rsid w:val="00EB556C"/>
    <w:rsid w:val="00EC03CA"/>
    <w:rsid w:val="00EC2B1B"/>
    <w:rsid w:val="00EC337B"/>
    <w:rsid w:val="00EC6E17"/>
    <w:rsid w:val="00ED177B"/>
    <w:rsid w:val="00F25332"/>
    <w:rsid w:val="00F35952"/>
    <w:rsid w:val="00F37B86"/>
    <w:rsid w:val="00F74E5E"/>
    <w:rsid w:val="00F83E65"/>
    <w:rsid w:val="00FA2C40"/>
    <w:rsid w:val="00FA7E65"/>
    <w:rsid w:val="00FB63D5"/>
    <w:rsid w:val="00FC04B9"/>
    <w:rsid w:val="00FC1B19"/>
    <w:rsid w:val="00FC38C1"/>
    <w:rsid w:val="00FD0D7E"/>
    <w:rsid w:val="00FD3851"/>
    <w:rsid w:val="00FE188F"/>
    <w:rsid w:val="00FF1FAB"/>
    <w:rsid w:val="010B181B"/>
    <w:rsid w:val="013A07AC"/>
    <w:rsid w:val="01CC68D5"/>
    <w:rsid w:val="01FE50BC"/>
    <w:rsid w:val="02300265"/>
    <w:rsid w:val="02377367"/>
    <w:rsid w:val="0240285E"/>
    <w:rsid w:val="02536EB3"/>
    <w:rsid w:val="027628C1"/>
    <w:rsid w:val="02CD4500"/>
    <w:rsid w:val="02E65CAB"/>
    <w:rsid w:val="03136847"/>
    <w:rsid w:val="032125FF"/>
    <w:rsid w:val="032E18D0"/>
    <w:rsid w:val="033011B9"/>
    <w:rsid w:val="03542B62"/>
    <w:rsid w:val="0374404F"/>
    <w:rsid w:val="03993696"/>
    <w:rsid w:val="03A34738"/>
    <w:rsid w:val="03D6609D"/>
    <w:rsid w:val="041967BF"/>
    <w:rsid w:val="041C0CB1"/>
    <w:rsid w:val="04E93371"/>
    <w:rsid w:val="05181349"/>
    <w:rsid w:val="055B7332"/>
    <w:rsid w:val="056A798D"/>
    <w:rsid w:val="056F50C1"/>
    <w:rsid w:val="059A230B"/>
    <w:rsid w:val="05AF7B68"/>
    <w:rsid w:val="05BE29A4"/>
    <w:rsid w:val="05F00BCD"/>
    <w:rsid w:val="06035414"/>
    <w:rsid w:val="06040F9A"/>
    <w:rsid w:val="06170810"/>
    <w:rsid w:val="0622594A"/>
    <w:rsid w:val="062B4B0A"/>
    <w:rsid w:val="063C3FE7"/>
    <w:rsid w:val="066B5F00"/>
    <w:rsid w:val="0675224B"/>
    <w:rsid w:val="067B28EF"/>
    <w:rsid w:val="067E3EB5"/>
    <w:rsid w:val="06C47150"/>
    <w:rsid w:val="06CD4B74"/>
    <w:rsid w:val="06F46394"/>
    <w:rsid w:val="072314C0"/>
    <w:rsid w:val="074D4BD8"/>
    <w:rsid w:val="077547A1"/>
    <w:rsid w:val="078411C8"/>
    <w:rsid w:val="079E00C6"/>
    <w:rsid w:val="07A42E2C"/>
    <w:rsid w:val="07B363A1"/>
    <w:rsid w:val="07ED7261"/>
    <w:rsid w:val="087D641E"/>
    <w:rsid w:val="08A07369"/>
    <w:rsid w:val="08D67DE6"/>
    <w:rsid w:val="091B36AE"/>
    <w:rsid w:val="098C148C"/>
    <w:rsid w:val="09EA1F2A"/>
    <w:rsid w:val="0A0134D2"/>
    <w:rsid w:val="0A2850F6"/>
    <w:rsid w:val="0A4A3AE2"/>
    <w:rsid w:val="0A6B190B"/>
    <w:rsid w:val="0A9C5B25"/>
    <w:rsid w:val="0AC35E88"/>
    <w:rsid w:val="0AC9091E"/>
    <w:rsid w:val="0B3B3C49"/>
    <w:rsid w:val="0B552CB2"/>
    <w:rsid w:val="0B66661D"/>
    <w:rsid w:val="0B7877C8"/>
    <w:rsid w:val="0B8F4228"/>
    <w:rsid w:val="0BC62F1C"/>
    <w:rsid w:val="0BE97A81"/>
    <w:rsid w:val="0C576560"/>
    <w:rsid w:val="0C933759"/>
    <w:rsid w:val="0CB3034F"/>
    <w:rsid w:val="0CEA7A5E"/>
    <w:rsid w:val="0D011A4A"/>
    <w:rsid w:val="0D9E5BE6"/>
    <w:rsid w:val="0DAF2FB0"/>
    <w:rsid w:val="0DE03441"/>
    <w:rsid w:val="0ECC0D8A"/>
    <w:rsid w:val="0EE70D61"/>
    <w:rsid w:val="0EFE798E"/>
    <w:rsid w:val="0F6012E0"/>
    <w:rsid w:val="0F631318"/>
    <w:rsid w:val="0FA5251B"/>
    <w:rsid w:val="0FB60F8D"/>
    <w:rsid w:val="0FB8513C"/>
    <w:rsid w:val="0FBA092F"/>
    <w:rsid w:val="0FBC7FE4"/>
    <w:rsid w:val="101211F8"/>
    <w:rsid w:val="103E6C0E"/>
    <w:rsid w:val="106B20EB"/>
    <w:rsid w:val="108D4479"/>
    <w:rsid w:val="10AD75EF"/>
    <w:rsid w:val="10F42301"/>
    <w:rsid w:val="11065D2C"/>
    <w:rsid w:val="1150266C"/>
    <w:rsid w:val="118D5786"/>
    <w:rsid w:val="11D26A85"/>
    <w:rsid w:val="12527021"/>
    <w:rsid w:val="126A20AC"/>
    <w:rsid w:val="12907E1F"/>
    <w:rsid w:val="12B0422E"/>
    <w:rsid w:val="12D07CBD"/>
    <w:rsid w:val="12F03A8D"/>
    <w:rsid w:val="12FB1F1C"/>
    <w:rsid w:val="137230C9"/>
    <w:rsid w:val="137B6010"/>
    <w:rsid w:val="13CD4BF1"/>
    <w:rsid w:val="13F34CA7"/>
    <w:rsid w:val="14087139"/>
    <w:rsid w:val="14391C5C"/>
    <w:rsid w:val="14694151"/>
    <w:rsid w:val="14864269"/>
    <w:rsid w:val="149013EC"/>
    <w:rsid w:val="14D0385F"/>
    <w:rsid w:val="152A2FC9"/>
    <w:rsid w:val="152E38AF"/>
    <w:rsid w:val="153D6DEC"/>
    <w:rsid w:val="159E5897"/>
    <w:rsid w:val="16126D17"/>
    <w:rsid w:val="16155210"/>
    <w:rsid w:val="1617420C"/>
    <w:rsid w:val="163070EE"/>
    <w:rsid w:val="16362C2D"/>
    <w:rsid w:val="163A2445"/>
    <w:rsid w:val="164A5F12"/>
    <w:rsid w:val="167A67DF"/>
    <w:rsid w:val="169D49D1"/>
    <w:rsid w:val="16F53929"/>
    <w:rsid w:val="176F4079"/>
    <w:rsid w:val="177F4193"/>
    <w:rsid w:val="184A069F"/>
    <w:rsid w:val="186E5D8B"/>
    <w:rsid w:val="188075F1"/>
    <w:rsid w:val="18BC72C8"/>
    <w:rsid w:val="18C17CDF"/>
    <w:rsid w:val="18F60A16"/>
    <w:rsid w:val="19406BCA"/>
    <w:rsid w:val="194A19B6"/>
    <w:rsid w:val="19CE54BD"/>
    <w:rsid w:val="19F81BC6"/>
    <w:rsid w:val="1A5B3DAB"/>
    <w:rsid w:val="1AF12911"/>
    <w:rsid w:val="1B4936D1"/>
    <w:rsid w:val="1BA71B66"/>
    <w:rsid w:val="1C2C60FF"/>
    <w:rsid w:val="1C3950EF"/>
    <w:rsid w:val="1C516DE1"/>
    <w:rsid w:val="1C876B7C"/>
    <w:rsid w:val="1C9F368B"/>
    <w:rsid w:val="1CDA00B0"/>
    <w:rsid w:val="1D1539F9"/>
    <w:rsid w:val="1D3E52D1"/>
    <w:rsid w:val="1D3F2331"/>
    <w:rsid w:val="1D407170"/>
    <w:rsid w:val="1D60611F"/>
    <w:rsid w:val="1D6B54AE"/>
    <w:rsid w:val="1DDD42E3"/>
    <w:rsid w:val="1DE47FE4"/>
    <w:rsid w:val="1E030DC8"/>
    <w:rsid w:val="1E352383"/>
    <w:rsid w:val="1E413716"/>
    <w:rsid w:val="1E521BF4"/>
    <w:rsid w:val="1E7F4E7D"/>
    <w:rsid w:val="1E90132C"/>
    <w:rsid w:val="1EC134B1"/>
    <w:rsid w:val="1F472A93"/>
    <w:rsid w:val="1FD51345"/>
    <w:rsid w:val="1FF47788"/>
    <w:rsid w:val="2060339D"/>
    <w:rsid w:val="206904BF"/>
    <w:rsid w:val="20AE4572"/>
    <w:rsid w:val="210B020D"/>
    <w:rsid w:val="21264EDF"/>
    <w:rsid w:val="218C3503"/>
    <w:rsid w:val="21A842C7"/>
    <w:rsid w:val="21B948C1"/>
    <w:rsid w:val="21C959D5"/>
    <w:rsid w:val="21EB48C3"/>
    <w:rsid w:val="22142ACF"/>
    <w:rsid w:val="2252490D"/>
    <w:rsid w:val="227809D0"/>
    <w:rsid w:val="2293195D"/>
    <w:rsid w:val="22935583"/>
    <w:rsid w:val="22D44351"/>
    <w:rsid w:val="2308324D"/>
    <w:rsid w:val="23361551"/>
    <w:rsid w:val="23366094"/>
    <w:rsid w:val="23553444"/>
    <w:rsid w:val="23A15D6A"/>
    <w:rsid w:val="23E33E97"/>
    <w:rsid w:val="23EB7086"/>
    <w:rsid w:val="23EF74E8"/>
    <w:rsid w:val="245A4B65"/>
    <w:rsid w:val="24A3232E"/>
    <w:rsid w:val="24BE3EE7"/>
    <w:rsid w:val="250E59A5"/>
    <w:rsid w:val="2540053D"/>
    <w:rsid w:val="25572EC0"/>
    <w:rsid w:val="25583F8F"/>
    <w:rsid w:val="25942A0A"/>
    <w:rsid w:val="25B2644E"/>
    <w:rsid w:val="25BE790E"/>
    <w:rsid w:val="25CF5599"/>
    <w:rsid w:val="260B5408"/>
    <w:rsid w:val="26596DA2"/>
    <w:rsid w:val="27055672"/>
    <w:rsid w:val="276D47EC"/>
    <w:rsid w:val="27A53E9F"/>
    <w:rsid w:val="27AE3794"/>
    <w:rsid w:val="27FB0559"/>
    <w:rsid w:val="28662B70"/>
    <w:rsid w:val="28CE7443"/>
    <w:rsid w:val="29136D04"/>
    <w:rsid w:val="293911B4"/>
    <w:rsid w:val="296C6E71"/>
    <w:rsid w:val="298D1D5A"/>
    <w:rsid w:val="29A55AC6"/>
    <w:rsid w:val="2A102E33"/>
    <w:rsid w:val="2A14318A"/>
    <w:rsid w:val="2A5F6341"/>
    <w:rsid w:val="2A725463"/>
    <w:rsid w:val="2A903B65"/>
    <w:rsid w:val="2AE835BC"/>
    <w:rsid w:val="2B4F3A96"/>
    <w:rsid w:val="2C720AD0"/>
    <w:rsid w:val="2C763105"/>
    <w:rsid w:val="2C871C77"/>
    <w:rsid w:val="2C934F3A"/>
    <w:rsid w:val="2C9D73E4"/>
    <w:rsid w:val="2CA32A24"/>
    <w:rsid w:val="2CD4437F"/>
    <w:rsid w:val="2CE0580D"/>
    <w:rsid w:val="2D2E2357"/>
    <w:rsid w:val="2D5C6165"/>
    <w:rsid w:val="2D95431B"/>
    <w:rsid w:val="2D9D23B7"/>
    <w:rsid w:val="2DA53D49"/>
    <w:rsid w:val="2DDD46D7"/>
    <w:rsid w:val="2DE64940"/>
    <w:rsid w:val="2E0715EA"/>
    <w:rsid w:val="2E710F25"/>
    <w:rsid w:val="2E7C3A67"/>
    <w:rsid w:val="2E7E4C90"/>
    <w:rsid w:val="2EB02C44"/>
    <w:rsid w:val="2EE21958"/>
    <w:rsid w:val="2F43443B"/>
    <w:rsid w:val="2F504A9E"/>
    <w:rsid w:val="2F717EA7"/>
    <w:rsid w:val="2F7C1090"/>
    <w:rsid w:val="2FB0199E"/>
    <w:rsid w:val="2FBF6F5E"/>
    <w:rsid w:val="3009689E"/>
    <w:rsid w:val="30392BAF"/>
    <w:rsid w:val="303E1558"/>
    <w:rsid w:val="305B3C7D"/>
    <w:rsid w:val="306A79DD"/>
    <w:rsid w:val="30820253"/>
    <w:rsid w:val="30A0380E"/>
    <w:rsid w:val="30C21AC9"/>
    <w:rsid w:val="30E54651"/>
    <w:rsid w:val="30F2103C"/>
    <w:rsid w:val="313633F3"/>
    <w:rsid w:val="313F2733"/>
    <w:rsid w:val="314544DD"/>
    <w:rsid w:val="314A3D5B"/>
    <w:rsid w:val="316B25B6"/>
    <w:rsid w:val="31855E3D"/>
    <w:rsid w:val="31911E35"/>
    <w:rsid w:val="31927D00"/>
    <w:rsid w:val="319C4144"/>
    <w:rsid w:val="31E304B1"/>
    <w:rsid w:val="32536E98"/>
    <w:rsid w:val="32B80440"/>
    <w:rsid w:val="32DE42FD"/>
    <w:rsid w:val="32FD0562"/>
    <w:rsid w:val="3332690B"/>
    <w:rsid w:val="334457E6"/>
    <w:rsid w:val="340D04DF"/>
    <w:rsid w:val="346567A0"/>
    <w:rsid w:val="34982340"/>
    <w:rsid w:val="34BA214A"/>
    <w:rsid w:val="34D96E0E"/>
    <w:rsid w:val="34E058A4"/>
    <w:rsid w:val="3517466A"/>
    <w:rsid w:val="3541567F"/>
    <w:rsid w:val="35561891"/>
    <w:rsid w:val="35C42453"/>
    <w:rsid w:val="360A14DF"/>
    <w:rsid w:val="3649547D"/>
    <w:rsid w:val="36745C03"/>
    <w:rsid w:val="36BD4AB8"/>
    <w:rsid w:val="36ED3C18"/>
    <w:rsid w:val="37492D4C"/>
    <w:rsid w:val="37A72BFB"/>
    <w:rsid w:val="37CF70A9"/>
    <w:rsid w:val="380776D4"/>
    <w:rsid w:val="38A01A03"/>
    <w:rsid w:val="38B707F1"/>
    <w:rsid w:val="39267194"/>
    <w:rsid w:val="396341AB"/>
    <w:rsid w:val="39897BF7"/>
    <w:rsid w:val="399E1441"/>
    <w:rsid w:val="39CB465D"/>
    <w:rsid w:val="39D22E88"/>
    <w:rsid w:val="3A13730E"/>
    <w:rsid w:val="3A2200A7"/>
    <w:rsid w:val="3A6A4F48"/>
    <w:rsid w:val="3AAD7EBF"/>
    <w:rsid w:val="3AD16475"/>
    <w:rsid w:val="3AE81C1E"/>
    <w:rsid w:val="3AF74B45"/>
    <w:rsid w:val="3BB6395F"/>
    <w:rsid w:val="3C27601C"/>
    <w:rsid w:val="3C540446"/>
    <w:rsid w:val="3C580DD8"/>
    <w:rsid w:val="3C7207B9"/>
    <w:rsid w:val="3CBF57D4"/>
    <w:rsid w:val="3CEE5D90"/>
    <w:rsid w:val="3D2A07D7"/>
    <w:rsid w:val="3D8E5F6C"/>
    <w:rsid w:val="3DC9235F"/>
    <w:rsid w:val="3DE5343E"/>
    <w:rsid w:val="3E045955"/>
    <w:rsid w:val="3E2928AA"/>
    <w:rsid w:val="3E4B0558"/>
    <w:rsid w:val="3E7C30D1"/>
    <w:rsid w:val="3EC373AA"/>
    <w:rsid w:val="3ED0655E"/>
    <w:rsid w:val="3F082006"/>
    <w:rsid w:val="3F49605C"/>
    <w:rsid w:val="3F831D58"/>
    <w:rsid w:val="4036451C"/>
    <w:rsid w:val="405139D2"/>
    <w:rsid w:val="40774519"/>
    <w:rsid w:val="40EC3027"/>
    <w:rsid w:val="40ED6EDE"/>
    <w:rsid w:val="41451DE3"/>
    <w:rsid w:val="41A538A1"/>
    <w:rsid w:val="421C341D"/>
    <w:rsid w:val="4226002E"/>
    <w:rsid w:val="4248650C"/>
    <w:rsid w:val="425101DD"/>
    <w:rsid w:val="425813A7"/>
    <w:rsid w:val="425E3CE6"/>
    <w:rsid w:val="42662B39"/>
    <w:rsid w:val="427C60EC"/>
    <w:rsid w:val="42AF13A1"/>
    <w:rsid w:val="42E2671F"/>
    <w:rsid w:val="42EB1794"/>
    <w:rsid w:val="43312EC1"/>
    <w:rsid w:val="43B006A9"/>
    <w:rsid w:val="43F51823"/>
    <w:rsid w:val="44673A6C"/>
    <w:rsid w:val="446C7AC1"/>
    <w:rsid w:val="44727382"/>
    <w:rsid w:val="4488447C"/>
    <w:rsid w:val="44E05F8D"/>
    <w:rsid w:val="45A81610"/>
    <w:rsid w:val="45F86314"/>
    <w:rsid w:val="463D1398"/>
    <w:rsid w:val="463D487E"/>
    <w:rsid w:val="46467996"/>
    <w:rsid w:val="467A71E9"/>
    <w:rsid w:val="46AE36CC"/>
    <w:rsid w:val="46B03B70"/>
    <w:rsid w:val="46CD5B27"/>
    <w:rsid w:val="4714656C"/>
    <w:rsid w:val="472D4AE4"/>
    <w:rsid w:val="475A0E25"/>
    <w:rsid w:val="477433AA"/>
    <w:rsid w:val="47867564"/>
    <w:rsid w:val="47B13336"/>
    <w:rsid w:val="47D21439"/>
    <w:rsid w:val="47EC2593"/>
    <w:rsid w:val="481D7858"/>
    <w:rsid w:val="4844501C"/>
    <w:rsid w:val="487D0486"/>
    <w:rsid w:val="487E6827"/>
    <w:rsid w:val="488D1BB3"/>
    <w:rsid w:val="489F3B56"/>
    <w:rsid w:val="48BC2DE1"/>
    <w:rsid w:val="48D55C81"/>
    <w:rsid w:val="495718B0"/>
    <w:rsid w:val="496557F9"/>
    <w:rsid w:val="49860D44"/>
    <w:rsid w:val="49B56187"/>
    <w:rsid w:val="49C87B61"/>
    <w:rsid w:val="49E60E5D"/>
    <w:rsid w:val="4A1909A0"/>
    <w:rsid w:val="4A280604"/>
    <w:rsid w:val="4A874B09"/>
    <w:rsid w:val="4AA8729E"/>
    <w:rsid w:val="4AF56EC6"/>
    <w:rsid w:val="4B4C02ED"/>
    <w:rsid w:val="4B777293"/>
    <w:rsid w:val="4BE618E3"/>
    <w:rsid w:val="4BEE44F2"/>
    <w:rsid w:val="4BF547E4"/>
    <w:rsid w:val="4C452A2E"/>
    <w:rsid w:val="4C70693C"/>
    <w:rsid w:val="4C8537C9"/>
    <w:rsid w:val="4C957E34"/>
    <w:rsid w:val="4C9C21E9"/>
    <w:rsid w:val="4CA73341"/>
    <w:rsid w:val="4CA74208"/>
    <w:rsid w:val="4CC70070"/>
    <w:rsid w:val="4CF66DE9"/>
    <w:rsid w:val="4CFD5365"/>
    <w:rsid w:val="4D0B1526"/>
    <w:rsid w:val="4D234ECE"/>
    <w:rsid w:val="4DC529C1"/>
    <w:rsid w:val="4DCB5250"/>
    <w:rsid w:val="4F412EF4"/>
    <w:rsid w:val="4F873962"/>
    <w:rsid w:val="4F92738F"/>
    <w:rsid w:val="4FA662CE"/>
    <w:rsid w:val="4FB63CF5"/>
    <w:rsid w:val="4FC17B04"/>
    <w:rsid w:val="4FCF38A7"/>
    <w:rsid w:val="4FFF2B45"/>
    <w:rsid w:val="500037D4"/>
    <w:rsid w:val="501410FA"/>
    <w:rsid w:val="50205D85"/>
    <w:rsid w:val="502305CE"/>
    <w:rsid w:val="50E20028"/>
    <w:rsid w:val="50EB273B"/>
    <w:rsid w:val="50F87889"/>
    <w:rsid w:val="514B229E"/>
    <w:rsid w:val="517860F3"/>
    <w:rsid w:val="51860E9E"/>
    <w:rsid w:val="524A4D58"/>
    <w:rsid w:val="5273151A"/>
    <w:rsid w:val="52955FB3"/>
    <w:rsid w:val="52960FF2"/>
    <w:rsid w:val="52F42575"/>
    <w:rsid w:val="534D12A4"/>
    <w:rsid w:val="53531B4B"/>
    <w:rsid w:val="536329BD"/>
    <w:rsid w:val="53647DA3"/>
    <w:rsid w:val="53731DE7"/>
    <w:rsid w:val="53BD5C40"/>
    <w:rsid w:val="5414133C"/>
    <w:rsid w:val="543D6BE0"/>
    <w:rsid w:val="548D027F"/>
    <w:rsid w:val="54BA2EAE"/>
    <w:rsid w:val="54FD5792"/>
    <w:rsid w:val="55A93686"/>
    <w:rsid w:val="55E114D5"/>
    <w:rsid w:val="564A3398"/>
    <w:rsid w:val="56C4107E"/>
    <w:rsid w:val="57045D5A"/>
    <w:rsid w:val="578A7A88"/>
    <w:rsid w:val="578F58C9"/>
    <w:rsid w:val="582B1C27"/>
    <w:rsid w:val="5839310F"/>
    <w:rsid w:val="584552BF"/>
    <w:rsid w:val="58EC44DE"/>
    <w:rsid w:val="59045508"/>
    <w:rsid w:val="592120C0"/>
    <w:rsid w:val="59331502"/>
    <w:rsid w:val="594C5E66"/>
    <w:rsid w:val="599778BB"/>
    <w:rsid w:val="59AB15BF"/>
    <w:rsid w:val="59E545C2"/>
    <w:rsid w:val="5A0443D6"/>
    <w:rsid w:val="5A401792"/>
    <w:rsid w:val="5B690751"/>
    <w:rsid w:val="5C1D1464"/>
    <w:rsid w:val="5C5B1759"/>
    <w:rsid w:val="5C9E6A24"/>
    <w:rsid w:val="5CB937BA"/>
    <w:rsid w:val="5CC036D5"/>
    <w:rsid w:val="5CCE3752"/>
    <w:rsid w:val="5D5D22FE"/>
    <w:rsid w:val="5D81625E"/>
    <w:rsid w:val="5D906BF5"/>
    <w:rsid w:val="5DB47334"/>
    <w:rsid w:val="5DC33751"/>
    <w:rsid w:val="5E172770"/>
    <w:rsid w:val="5E317753"/>
    <w:rsid w:val="5E3D0404"/>
    <w:rsid w:val="5EC62701"/>
    <w:rsid w:val="5F54068C"/>
    <w:rsid w:val="5F6E31CD"/>
    <w:rsid w:val="60286820"/>
    <w:rsid w:val="60555FE4"/>
    <w:rsid w:val="60CB4152"/>
    <w:rsid w:val="60CD632C"/>
    <w:rsid w:val="60CF3E48"/>
    <w:rsid w:val="60DC139E"/>
    <w:rsid w:val="60F40A4B"/>
    <w:rsid w:val="610F0A2B"/>
    <w:rsid w:val="612C42F2"/>
    <w:rsid w:val="612E74FF"/>
    <w:rsid w:val="613F381B"/>
    <w:rsid w:val="61427D4E"/>
    <w:rsid w:val="616C4576"/>
    <w:rsid w:val="61AE3C5C"/>
    <w:rsid w:val="61C1436C"/>
    <w:rsid w:val="61C331AA"/>
    <w:rsid w:val="61DE537F"/>
    <w:rsid w:val="61FD7C20"/>
    <w:rsid w:val="62153A13"/>
    <w:rsid w:val="62543634"/>
    <w:rsid w:val="62571A8C"/>
    <w:rsid w:val="6284234E"/>
    <w:rsid w:val="62AE1103"/>
    <w:rsid w:val="62F62752"/>
    <w:rsid w:val="63075C78"/>
    <w:rsid w:val="63990AB5"/>
    <w:rsid w:val="63F27705"/>
    <w:rsid w:val="63F43223"/>
    <w:rsid w:val="645F16B8"/>
    <w:rsid w:val="647D06BF"/>
    <w:rsid w:val="64A0181F"/>
    <w:rsid w:val="64C54636"/>
    <w:rsid w:val="650961CA"/>
    <w:rsid w:val="650A4CE3"/>
    <w:rsid w:val="652F4849"/>
    <w:rsid w:val="653B6DB7"/>
    <w:rsid w:val="657B34F3"/>
    <w:rsid w:val="65A208EF"/>
    <w:rsid w:val="65A60C2C"/>
    <w:rsid w:val="65B6240C"/>
    <w:rsid w:val="65CA0FF0"/>
    <w:rsid w:val="65EE2C12"/>
    <w:rsid w:val="662B515E"/>
    <w:rsid w:val="6640611A"/>
    <w:rsid w:val="66701968"/>
    <w:rsid w:val="66787AF8"/>
    <w:rsid w:val="66875532"/>
    <w:rsid w:val="66C47EC6"/>
    <w:rsid w:val="66D53FEE"/>
    <w:rsid w:val="66F73C73"/>
    <w:rsid w:val="67201A40"/>
    <w:rsid w:val="67515402"/>
    <w:rsid w:val="67521566"/>
    <w:rsid w:val="679B4A1A"/>
    <w:rsid w:val="67F12561"/>
    <w:rsid w:val="680A1C1C"/>
    <w:rsid w:val="680A7425"/>
    <w:rsid w:val="68224AB7"/>
    <w:rsid w:val="683166D7"/>
    <w:rsid w:val="68371EB1"/>
    <w:rsid w:val="685A75E8"/>
    <w:rsid w:val="68615EDB"/>
    <w:rsid w:val="68F52B6F"/>
    <w:rsid w:val="68FD24D6"/>
    <w:rsid w:val="69017C1D"/>
    <w:rsid w:val="691A4459"/>
    <w:rsid w:val="692D0390"/>
    <w:rsid w:val="69556EB7"/>
    <w:rsid w:val="6A0551DE"/>
    <w:rsid w:val="6A120D25"/>
    <w:rsid w:val="6A2A5219"/>
    <w:rsid w:val="6AD348C2"/>
    <w:rsid w:val="6AF93859"/>
    <w:rsid w:val="6B005FF4"/>
    <w:rsid w:val="6B0F5C47"/>
    <w:rsid w:val="6B125020"/>
    <w:rsid w:val="6B4500D3"/>
    <w:rsid w:val="6BD27171"/>
    <w:rsid w:val="6BFA7F32"/>
    <w:rsid w:val="6C6B6D01"/>
    <w:rsid w:val="6C963BCE"/>
    <w:rsid w:val="6CF1031B"/>
    <w:rsid w:val="6D184D18"/>
    <w:rsid w:val="6D36084C"/>
    <w:rsid w:val="6D6738CE"/>
    <w:rsid w:val="6D9825D1"/>
    <w:rsid w:val="6DBD68CE"/>
    <w:rsid w:val="6DBF6599"/>
    <w:rsid w:val="6DCE1423"/>
    <w:rsid w:val="6E136122"/>
    <w:rsid w:val="6E432DA1"/>
    <w:rsid w:val="6EB9047F"/>
    <w:rsid w:val="6EC05DE2"/>
    <w:rsid w:val="6ED802A2"/>
    <w:rsid w:val="6F0A4E44"/>
    <w:rsid w:val="6F6C51AB"/>
    <w:rsid w:val="6F8705F8"/>
    <w:rsid w:val="6FC54D50"/>
    <w:rsid w:val="70062EC5"/>
    <w:rsid w:val="701A1470"/>
    <w:rsid w:val="70294B51"/>
    <w:rsid w:val="70327D19"/>
    <w:rsid w:val="70516DB9"/>
    <w:rsid w:val="70572659"/>
    <w:rsid w:val="70F62EA0"/>
    <w:rsid w:val="710E46EC"/>
    <w:rsid w:val="71324139"/>
    <w:rsid w:val="717C6EE8"/>
    <w:rsid w:val="71B37311"/>
    <w:rsid w:val="721D2A0D"/>
    <w:rsid w:val="722517F9"/>
    <w:rsid w:val="728523DB"/>
    <w:rsid w:val="72911A25"/>
    <w:rsid w:val="7375573E"/>
    <w:rsid w:val="73B04906"/>
    <w:rsid w:val="73CB0206"/>
    <w:rsid w:val="73D0560B"/>
    <w:rsid w:val="73D727B7"/>
    <w:rsid w:val="73DD45C2"/>
    <w:rsid w:val="74207C6A"/>
    <w:rsid w:val="7421270C"/>
    <w:rsid w:val="742A058B"/>
    <w:rsid w:val="744C5459"/>
    <w:rsid w:val="74B55A10"/>
    <w:rsid w:val="74BA419B"/>
    <w:rsid w:val="74D41120"/>
    <w:rsid w:val="74EA6C4B"/>
    <w:rsid w:val="751B464E"/>
    <w:rsid w:val="755C07D6"/>
    <w:rsid w:val="75770A01"/>
    <w:rsid w:val="757E009D"/>
    <w:rsid w:val="75E87AC0"/>
    <w:rsid w:val="762F53DA"/>
    <w:rsid w:val="763318E4"/>
    <w:rsid w:val="76754CBB"/>
    <w:rsid w:val="76F81FC6"/>
    <w:rsid w:val="77127EBF"/>
    <w:rsid w:val="77535900"/>
    <w:rsid w:val="775C04C5"/>
    <w:rsid w:val="77753DAA"/>
    <w:rsid w:val="77A33325"/>
    <w:rsid w:val="77DB2ADA"/>
    <w:rsid w:val="77DD60B4"/>
    <w:rsid w:val="78143205"/>
    <w:rsid w:val="78186CD6"/>
    <w:rsid w:val="782A4815"/>
    <w:rsid w:val="78656D33"/>
    <w:rsid w:val="789828EB"/>
    <w:rsid w:val="78A9770C"/>
    <w:rsid w:val="78AB11DE"/>
    <w:rsid w:val="78CB590B"/>
    <w:rsid w:val="78D72BBA"/>
    <w:rsid w:val="79036C4A"/>
    <w:rsid w:val="791673BB"/>
    <w:rsid w:val="792403B1"/>
    <w:rsid w:val="797804DF"/>
    <w:rsid w:val="79B774AA"/>
    <w:rsid w:val="7A380AA1"/>
    <w:rsid w:val="7A6559DA"/>
    <w:rsid w:val="7A933FC1"/>
    <w:rsid w:val="7A9E1BDC"/>
    <w:rsid w:val="7B1153C0"/>
    <w:rsid w:val="7B280318"/>
    <w:rsid w:val="7B43173F"/>
    <w:rsid w:val="7B4A5D58"/>
    <w:rsid w:val="7B823B87"/>
    <w:rsid w:val="7BE105FE"/>
    <w:rsid w:val="7BE85379"/>
    <w:rsid w:val="7C4272C0"/>
    <w:rsid w:val="7CA82D21"/>
    <w:rsid w:val="7D112490"/>
    <w:rsid w:val="7D1B3445"/>
    <w:rsid w:val="7D255511"/>
    <w:rsid w:val="7D39160C"/>
    <w:rsid w:val="7D5F6D3B"/>
    <w:rsid w:val="7D9D01C0"/>
    <w:rsid w:val="7DAD344E"/>
    <w:rsid w:val="7DD55341"/>
    <w:rsid w:val="7DFA229B"/>
    <w:rsid w:val="7E155EC9"/>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36</Pages>
  <Words>4788</Words>
  <Characters>27296</Characters>
  <Lines>227</Lines>
  <Paragraphs>64</Paragraphs>
  <TotalTime>4</TotalTime>
  <ScaleCrop>false</ScaleCrop>
  <LinksUpToDate>false</LinksUpToDate>
  <CharactersWithSpaces>32020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2025-01-09T03:24:00Z</dcterms:created>
  <cp:lastModifiedBy>qianyi.jia</cp:lastModifiedBy>
  <cp:lastPrinted>2024-10-23T10:08:00Z</cp:lastPrinted>
  <dcterms:modified xsi:type="dcterms:W3CDTF">2026-07-02T08:04:25Z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115A95668FBC4FE493120814206CFB4D</vt:lpwstr>
  </property>
</Properties>
</file>