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3" w:name="_GoBack"/>
      <w:bookmarkEnd w:id="3"/>
      <w:r>
        <w:rPr>
          <w:rFonts w:hint="eastAsia" w:ascii="华文仿宋" w:hAnsi="华文仿宋" w:eastAsia="华文仿宋" w:cs="华文仿宋"/>
          <w:b/>
          <w:bCs/>
          <w:sz w:val="32"/>
          <w:szCs w:val="32"/>
          <w:highlight w:val="none"/>
          <w:lang w:val="en-US" w:eastAsia="zh-CN"/>
        </w:rPr>
        <w:t>渤银理财财收有略系列固定收益类（创合款）一年封闭式理财产品2026年27号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7"/>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7"/>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7"/>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7"/>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7"/>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7"/>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7"/>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7"/>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渤海银行股份有限公司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val="en-US" w:eastAsia="zh-CN"/>
        </w:rPr>
        <w:t>渤银理财财收有略系列固定收益类（创合款）一年封闭式理财产品2026年27号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5"/>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val="en-US" w:eastAsia="zh-CN"/>
              </w:rPr>
              <w:t>渤银理财财收有略系列固定收益类（创合款）一年封闭式理财产品2026年27号</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val="en-US" w:eastAsia="zh-CN"/>
              </w:rPr>
              <w:t>CSFBH1Y26027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渤银理财财收有略一年（创合款）2026年27号A款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rPr>
              <w:t>B类份额：</w:t>
            </w:r>
            <w:r>
              <w:rPr>
                <w:rFonts w:hint="eastAsia" w:ascii="宋体" w:hAnsi="宋体" w:eastAsia="宋体"/>
                <w:sz w:val="24"/>
                <w:szCs w:val="24"/>
                <w:highlight w:val="none"/>
                <w:lang w:val="en-US" w:eastAsia="zh-CN"/>
              </w:rPr>
              <w:t>渤银理财财收有略一年（创合款）2026年27号B款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渤银理财财收有略一年（创合款）2026年27号C款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渤银理财财收有略一年（创合款）2026年27号D款</w:t>
            </w:r>
            <w:r>
              <w:rPr>
                <w:rFonts w:hint="eastAsia" w:ascii="宋体" w:hAnsi="宋体" w:eastAsia="宋体"/>
                <w:sz w:val="24"/>
                <w:szCs w:val="24"/>
                <w:highlight w:val="none"/>
                <w:lang w:eastAsia="zh-CN"/>
              </w:rPr>
              <w:t>】</w:t>
            </w:r>
          </w:p>
          <w:p>
            <w:pPr>
              <w:spacing w:line="300" w:lineRule="auto"/>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产品销售代码：</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CSFBH1Y26027A</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CSFBH1Y26027B</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CSFBH1Y26027C</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CSFBH1Y26027D</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ascii="宋体" w:hAnsi="宋体" w:eastAsia="宋体"/>
                <w:sz w:val="24"/>
                <w:szCs w:val="24"/>
                <w:highlight w:val="none"/>
              </w:rPr>
            </w:pPr>
            <w:r>
              <w:rPr>
                <w:rFonts w:hint="eastAsia" w:ascii="宋体" w:hAnsi="宋体" w:eastAsia="宋体" w:cs="宋体"/>
                <w:sz w:val="24"/>
                <w:szCs w:val="24"/>
                <w:highlight w:val="none"/>
                <w:lang w:val="en-US" w:eastAsia="zh-CN"/>
              </w:rPr>
              <w:t>Z7008426000472</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：长沙银行股份有限公司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嘉兴银行股份有限公司、吉林银行股份有限公司，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渤海银行股份有限公司、吉林银行股份有限公司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湖南银行股份有限公司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80亿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2026年7月6日9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val="en-US" w:eastAsia="zh-CN"/>
              </w:rPr>
              <w:t>2026年7月13日17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2026年7月14日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val="en-US" w:eastAsia="zh-CN"/>
              </w:rPr>
              <w:t>2026年7月14日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若有投资者购买了本产品且本产品不成立，本产品管理人最晚于产品计划成立日对产品不成立进行信息披露，在</w:t>
            </w:r>
            <w:r>
              <w:rPr>
                <w:rFonts w:hint="eastAsia" w:ascii="宋体" w:hAnsi="宋体" w:eastAsia="宋体"/>
                <w:sz w:val="24"/>
                <w:szCs w:val="24"/>
                <w:highlight w:val="none"/>
              </w:rPr>
              <w:t>认购期</w:t>
            </w:r>
            <w:r>
              <w:rPr>
                <w:rFonts w:ascii="宋体" w:hAnsi="宋体" w:eastAsia="宋体"/>
                <w:sz w:val="24"/>
                <w:szCs w:val="24"/>
                <w:highlight w:val="none"/>
              </w:rPr>
              <w:t>结束后5个工作日内，投资者认购资金（如已扣款至产品募集账户）将返还至投资者约定交易账户，在途期间投资者认购资金不计息。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2027年8月12日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394</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2.35%-2.85%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2.45%-2.95%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2.60%-3.10%</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2.25%-2.75%</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测算依据：本理财产品为固定收益类产品，以产品投资固定收益类资产仓位80%-100%，其中，非标准化债权类资产仓位0-49%，权益类、商品及金融衍生品类资产仓位合计0%-20%为例，根据当前市场环境下大类资产配置比例及大类资产收益情况，考虑杠杆和费率等因素，并结合产品投资策略进行测算，确定业绩比较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30" w:type="dxa"/>
            <w:vAlign w:val="center"/>
          </w:tcPr>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1.本理财产品</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超额业绩报酬</w:t>
            </w:r>
            <w:r>
              <w:rPr>
                <w:rFonts w:ascii="宋体" w:hAnsi="宋体" w:eastAsia="宋体"/>
                <w:b/>
                <w:bCs/>
                <w:sz w:val="24"/>
                <w:szCs w:val="24"/>
                <w:highlight w:val="none"/>
              </w:rPr>
              <w:t>,</w:t>
            </w:r>
            <w:r>
              <w:rPr>
                <w:rFonts w:hint="eastAsia" w:ascii="宋体" w:hAnsi="宋体" w:eastAsia="宋体"/>
                <w:b/>
                <w:bCs/>
                <w:sz w:val="24"/>
                <w:szCs w:val="24"/>
                <w:highlight w:val="none"/>
              </w:rPr>
              <w:t>超额业绩报酬计提基准为：</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b/>
                <w:bCs/>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2.60%</w:t>
            </w:r>
            <w:r>
              <w:rPr>
                <w:rFonts w:hint="eastAsia" w:ascii="宋体" w:hAnsi="宋体" w:eastAsia="宋体"/>
                <w:b/>
                <w:bCs/>
                <w:sz w:val="24"/>
                <w:szCs w:val="24"/>
                <w:highlight w:val="none"/>
              </w:rPr>
              <w:t>】</w:t>
            </w:r>
          </w:p>
          <w:p>
            <w:pPr>
              <w:spacing w:line="300" w:lineRule="auto"/>
              <w:jc w:val="left"/>
              <w:rPr>
                <w:rFonts w:hint="eastAsia" w:ascii="宋体" w:hAnsi="宋体" w:eastAsia="宋体"/>
                <w:b/>
                <w:bCs/>
                <w:sz w:val="24"/>
                <w:szCs w:val="24"/>
                <w:highlight w:val="none"/>
              </w:rPr>
            </w:pPr>
            <w:r>
              <w:rPr>
                <w:rFonts w:hint="eastAsia" w:ascii="宋体" w:hAnsi="宋体" w:eastAsia="宋体" w:cs="宋体"/>
                <w:b/>
                <w:bCs/>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2.70%</w:t>
            </w:r>
            <w:r>
              <w:rPr>
                <w:rFonts w:hint="eastAsia" w:ascii="宋体" w:hAnsi="宋体" w:eastAsia="宋体"/>
                <w:b/>
                <w:bCs/>
                <w:sz w:val="24"/>
                <w:szCs w:val="24"/>
                <w:highlight w:val="none"/>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C</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2.85%</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D</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2.50%</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业绩报酬计提基准的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业绩报酬计提基准仅作为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管理人收取超额业绩报酬</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理财产品认购及存续期间，管理人有权根据市场情况的变化或投资配置方案的调整等原因，对超额业绩报酬计提基准进行调整，如有调整，具体以管理人公告为准。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2.销售服务费：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w:t>
            </w:r>
            <w:r>
              <w:rPr>
                <w:rFonts w:hint="eastAsia" w:ascii="宋体" w:hAnsi="宋体" w:eastAsia="宋体"/>
                <w:b/>
                <w:bCs/>
                <w:sz w:val="24"/>
                <w:szCs w:val="24"/>
                <w:highlight w:val="none"/>
                <w:lang w:val="en-US" w:eastAsia="zh-CN"/>
              </w:rPr>
              <w:t>0.30</w:t>
            </w:r>
            <w:r>
              <w:rPr>
                <w:rFonts w:hint="eastAsia" w:ascii="宋体" w:hAnsi="宋体" w:eastAsia="宋体"/>
                <w:b/>
                <w:bCs/>
                <w:sz w:val="24"/>
                <w:szCs w:val="24"/>
                <w:highlight w:val="none"/>
              </w:rPr>
              <w:t>】%/年，产品成立日一次性计提，按日摊销</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★【B</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】%/年，产品成立日一次性计提，按日摊销</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C</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0.05</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b/>
                <w:bCs/>
                <w:sz w:val="24"/>
                <w:szCs w:val="24"/>
                <w:highlight w:val="none"/>
              </w:rPr>
              <w:t>，产品成立日一次性计提，按日摊销</w:t>
            </w:r>
            <w:r>
              <w:rPr>
                <w:rFonts w:hint="eastAsia" w:ascii="宋体" w:hAnsi="宋体" w:eastAsia="宋体"/>
                <w:color w:val="000000" w:themeColor="text1"/>
                <w:sz w:val="24"/>
                <w:szCs w:val="24"/>
                <w:highlight w:val="none"/>
                <w14:textFill>
                  <w14:solidFill>
                    <w14:schemeClr w14:val="tx1"/>
                  </w14:solidFill>
                </w14:textFill>
              </w:rPr>
              <w:t>。</w:t>
            </w:r>
          </w:p>
          <w:p>
            <w:pPr>
              <w:numPr>
                <w:ilvl w:val="255"/>
                <w:numId w:val="0"/>
              </w:numPr>
              <w:spacing w:line="300" w:lineRule="auto"/>
              <w:outlineLvl w:val="0"/>
              <w:rPr>
                <w:rFonts w:hint="eastAsia" w:ascii="宋体" w:hAnsi="宋体" w:eastAsia="宋体"/>
                <w:b/>
                <w:bCs/>
                <w:color w:val="000000" w:themeColor="text1"/>
                <w:sz w:val="24"/>
                <w:szCs w:val="24"/>
                <w:highlight w:val="none"/>
                <w:lang w:eastAsia="zh-CN"/>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b/>
                <w:bCs/>
                <w:color w:val="000000" w:themeColor="text1"/>
                <w:sz w:val="24"/>
                <w:szCs w:val="24"/>
                <w:highlight w:val="none"/>
                <w:lang w:val="en-US" w:eastAsia="zh-CN"/>
                <w14:textFill>
                  <w14:solidFill>
                    <w14:schemeClr w14:val="tx1"/>
                  </w14:solidFill>
                </w14:textFill>
              </w:rPr>
              <w:t>D</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0.40</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b/>
                <w:bCs/>
                <w:sz w:val="24"/>
                <w:szCs w:val="24"/>
                <w:highlight w:val="none"/>
              </w:rPr>
              <w:t>，产品成立日一次性计提，按日摊销</w:t>
            </w:r>
            <w:r>
              <w:rPr>
                <w:rFonts w:hint="eastAsia" w:ascii="宋体" w:hAnsi="宋体" w:eastAsia="宋体"/>
                <w:b/>
                <w:bCs/>
                <w:color w:val="000000" w:themeColor="text1"/>
                <w:sz w:val="24"/>
                <w:szCs w:val="24"/>
                <w:highlight w:val="none"/>
                <w:lang w:eastAsia="zh-CN"/>
                <w14:textFill>
                  <w14:solidFill>
                    <w14:schemeClr w14:val="tx1"/>
                  </w14:solidFill>
                </w14:textFill>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0.10</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0.02</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5.超额业绩报酬:</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管理人收取超额业绩报酬，不同类别份额的超额业绩报酬分别计算并计提。</w:t>
            </w:r>
          </w:p>
          <w:p>
            <w:pPr>
              <w:numPr>
                <w:ilvl w:val="255"/>
                <w:numId w:val="0"/>
              </w:numPr>
              <w:spacing w:line="300" w:lineRule="auto"/>
              <w:outlineLvl w:val="0"/>
              <w:rPr>
                <w:rFonts w:hint="eastAsia" w:ascii="宋体" w:hAnsi="宋体"/>
                <w:b/>
                <w:bCs/>
                <w:sz w:val="24"/>
                <w:szCs w:val="24"/>
                <w:highlight w:val="none"/>
              </w:rPr>
            </w:pPr>
            <w:r>
              <w:rPr>
                <w:rFonts w:hint="eastAsia" w:ascii="宋体" w:hAnsi="宋体" w:eastAsia="宋体"/>
                <w:b/>
                <w:bCs/>
                <w:sz w:val="24"/>
                <w:szCs w:val="24"/>
                <w:highlight w:val="none"/>
              </w:rPr>
              <w:t>在超额业绩报酬计提日，若某类份额的份额净值折算的年化收益率超过相应份额的超额业绩报酬计提基准，则产品管理人收取超过超额业绩报酬计提基准部分的【</w:t>
            </w:r>
            <w:r>
              <w:rPr>
                <w:rFonts w:hint="eastAsia" w:ascii="宋体" w:hAnsi="宋体" w:eastAsia="宋体"/>
                <w:b/>
                <w:bCs/>
                <w:sz w:val="24"/>
                <w:szCs w:val="24"/>
                <w:highlight w:val="none"/>
                <w:lang w:val="en-US" w:eastAsia="zh-CN"/>
              </w:rPr>
              <w:t>50</w:t>
            </w:r>
            <w:r>
              <w:rPr>
                <w:rFonts w:hint="eastAsia" w:ascii="宋体" w:hAnsi="宋体" w:eastAsia="宋体"/>
                <w:b/>
                <w:bCs/>
                <w:sz w:val="24"/>
                <w:szCs w:val="24"/>
                <w:highlight w:val="none"/>
              </w:rPr>
              <w:t>%】为超额业绩报酬。超额业绩报酬精确到小数点后2位，小数点2位以后四舍五入。</w:t>
            </w:r>
            <w:r>
              <w:rPr>
                <w:rFonts w:ascii="宋体" w:hAnsi="宋体" w:eastAsia="宋体"/>
                <w:b/>
                <w:bCs/>
                <w:sz w:val="24"/>
                <w:szCs w:val="24"/>
                <w:highlight w:val="none"/>
              </w:rPr>
              <w:t>产品管理人保留变更上述理财产品费率标准的权</w:t>
            </w:r>
            <w:r>
              <w:rPr>
                <w:rFonts w:hint="eastAsia" w:ascii="宋体" w:hAnsi="宋体" w:eastAsia="宋体"/>
                <w:b/>
                <w:bCs/>
                <w:sz w:val="24"/>
                <w:szCs w:val="24"/>
                <w:highlight w:val="none"/>
              </w:rPr>
              <w:t>利。</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6.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7.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3.理财产品</w:t>
            </w:r>
            <w:r>
              <w:rPr>
                <w:rFonts w:hint="eastAsia" w:ascii="宋体" w:hAnsi="宋体" w:eastAsia="宋体"/>
                <w:b/>
                <w:bCs/>
                <w:sz w:val="24"/>
                <w:szCs w:val="24"/>
                <w:highlight w:val="none"/>
              </w:rPr>
              <w:t>实际</w:t>
            </w:r>
            <w:r>
              <w:rPr>
                <w:rFonts w:ascii="宋体" w:hAnsi="宋体" w:eastAsia="宋体"/>
                <w:b/>
                <w:bCs/>
                <w:sz w:val="24"/>
                <w:szCs w:val="24"/>
                <w:highlight w:val="none"/>
              </w:rPr>
              <w:t>终止日至资金到账日为终止清算期，上述清算期内均不计付</w:t>
            </w:r>
            <w:r>
              <w:rPr>
                <w:rFonts w:hint="eastAsia" w:ascii="宋体" w:hAnsi="宋体" w:eastAsia="宋体"/>
                <w:b/>
                <w:bCs/>
                <w:sz w:val="24"/>
                <w:szCs w:val="24"/>
                <w:highlight w:val="none"/>
              </w:rPr>
              <w:t>利息</w:t>
            </w:r>
            <w:r>
              <w:rPr>
                <w:rFonts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本理财产品可直接或通过资产管理计划、信托计划及基金等资产管理产品间接投资于以下符合监管要求的金融资产和金融工具，包括但不限于：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可转换债券、可交换债券、非公开定向债务融资工具(PPN)、二级资本债、债券型基金、债券型基金中基金（FOF）、收益凭证、其他非标准化债权类资产，及其他符合监管要求的债权类资产</w:t>
      </w:r>
      <w:r>
        <w:rPr>
          <w:rFonts w:hint="eastAsia" w:ascii="宋体" w:hAnsi="宋体" w:eastAsia="宋体"/>
          <w:b w:val="0"/>
          <w:bCs w:val="0"/>
          <w:sz w:val="24"/>
          <w:szCs w:val="24"/>
          <w:highlight w:val="none"/>
          <w:lang w:eastAsia="zh-CN"/>
        </w:rPr>
        <w:t>（</w:t>
      </w:r>
      <w:r>
        <w:rPr>
          <w:rFonts w:hint="eastAsia" w:ascii="宋体" w:hAnsi="宋体" w:eastAsia="宋体"/>
          <w:b w:val="0"/>
          <w:bCs w:val="0"/>
          <w:sz w:val="24"/>
          <w:szCs w:val="24"/>
          <w:highlight w:val="none"/>
          <w:lang w:val="en-US" w:eastAsia="zh-CN"/>
        </w:rPr>
        <w:t>包括符合监管要求的各类QDII资产管理产品</w:t>
      </w:r>
      <w:r>
        <w:rPr>
          <w:rFonts w:hint="eastAsia" w:ascii="宋体" w:hAnsi="宋体" w:eastAsia="宋体"/>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境内的优先股、股票、股票型基金、混合型基金、QDII股票型基金、QDII混合型基金、股票型基金中基金（FOF）、混合型基金中基金（FOF）、公开募集基础设施证券投资基金（REITs）及其他符合监管要求的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（3）商品及衍生品类资产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商品型等另类投资基金、股指期货、国债期货、商品期货、利率互换、收益互换、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固定收益</w:t>
            </w:r>
            <w:r>
              <w:rPr>
                <w:rFonts w:hint="eastAsia" w:ascii="宋体" w:hAnsi="宋体" w:eastAsia="宋体"/>
                <w:sz w:val="24"/>
                <w:szCs w:val="24"/>
                <w:highlight w:val="none"/>
                <w:lang w:bidi="ar"/>
              </w:rPr>
              <w:t>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cstheme="minorBidi"/>
                <w:sz w:val="24"/>
                <w:szCs w:val="24"/>
                <w:highlight w:val="none"/>
                <w:vertAlign w:val="baseline"/>
                <w:lang w:val="en-US" w:eastAsia="zh-CN" w:bidi="ar"/>
              </w:rPr>
              <w:t>80%（含）-100%（含）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其中：非标准化债权类资产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cstheme="minorBidi"/>
                <w:sz w:val="24"/>
                <w:szCs w:val="24"/>
                <w:highlight w:val="none"/>
                <w:vertAlign w:val="baseline"/>
                <w:lang w:val="en-US" w:eastAsia="zh-CN" w:bidi="ar"/>
              </w:rPr>
              <w:t>0%-49%（含）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eastAsia="宋体"/>
                <w:highlight w:val="none"/>
                <w:lang w:val="en-US" w:eastAsia="zh-CN"/>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outlineLvl w:val="1"/>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通过综合分析宏观经济走势、财政与货币政策、利率波动与趋势、利率期限结构、信用风险和利差变化等因素，在符合产品投资范围和投资比例的前提下，综合考虑各类投资品种的收益性、流动性和风险特征，力争获得高于业绩比较基准的投资回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本理财产品以货币市场工具、债券等固定收益类资产配置为主，择机配置合意的非标准化债权类资产，灵活运用理财资金获取收益。</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久期配置策略：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根据货币政策和宏观审慎政策双支柱调控框架，结合市场投资者行为，央行预期管理等方面形成利率走势预判，在合理假设下的情景分析和压力测试后，确定最优的债券组合久期。</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信用类债券投资策略：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深度挖掘价值低估债券，在控制组合信用风险暴露的前提下，提升组合信用风险溢价。基于信用利差曲线变化和个券信用变化，筛选债券投资标的，动态调整投资组合内各行业、发行人的投资比例。</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息差策略：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当回购利率低于债券收益率时,本理财产品将在符合监管指标和理财产品投资特征的基础上，开展正回购并将融入的资金投资于信用债从而获取债券收益率超出回购资金成本的套利价值。</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非标准化债权类资产投资策略：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lang w:val="en-US" w:eastAsia="zh-CN"/>
        </w:rPr>
        <w:t>通过持有非标准化债权类资产至到期，在稳定产品净值的基础上获取相对高额的静态票面收入。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3.本理财产品投资于非标准化债权类资产的比例不高于本产品净资产的49%。</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bookmarkStart w:id="0" w:name="_Hlk134609573"/>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bookmarkEnd w:id="0"/>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eastAsia="zh-CN"/>
        </w:rPr>
        <w:t>2026年7月6日</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eastAsia="zh-CN"/>
        </w:rPr>
        <w:t>2026年7月13日</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5"/>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.法律法规规定或</w:t>
      </w:r>
      <w:r>
        <w:rPr>
          <w:rFonts w:hint="eastAsia" w:ascii="宋体" w:hAnsi="宋体" w:eastAsia="宋体"/>
          <w:sz w:val="24"/>
          <w:szCs w:val="24"/>
          <w:highlight w:val="none"/>
        </w:rPr>
        <w:t>产品</w:t>
      </w:r>
      <w:r>
        <w:rPr>
          <w:rFonts w:ascii="宋体" w:hAnsi="宋体" w:eastAsia="宋体"/>
          <w:sz w:val="24"/>
          <w:szCs w:val="24"/>
          <w:highlight w:val="none"/>
        </w:rPr>
        <w:t>管理人基于审慎考虑认定的其他情形。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如果投资者的认购申请被拒绝，被拒绝的认购款项将全额退还给投资者，扣款日至资金返还日期间管理人不计付利息。投资者通过销售服务机构购买理财产品的，以销售服务机构的规定为准。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ascii="宋体" w:hAnsi="宋体" w:eastAsia="宋体"/>
          <w:sz w:val="24"/>
          <w:szCs w:val="24"/>
          <w:highlight w:val="none"/>
        </w:rPr>
        <w:t>四</w:t>
      </w:r>
      <w:r>
        <w:rPr>
          <w:rFonts w:hint="eastAsia" w:ascii="宋体" w:hAnsi="宋体" w:cs="宋体"/>
          <w:sz w:val="24"/>
          <w:highlight w:val="none"/>
        </w:rPr>
        <w:t>）</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rPr>
      </w:pPr>
      <w:r>
        <w:rPr>
          <w:rFonts w:ascii="宋体" w:hAnsi="宋体" w:eastAsia="宋体"/>
          <w:sz w:val="24"/>
          <w:szCs w:val="24"/>
          <w:highlight w:val="none"/>
        </w:rPr>
        <w:t>若有投资者购买了本产品且本产品不成立，本产品管理人</w:t>
      </w:r>
      <w:r>
        <w:rPr>
          <w:rFonts w:hint="eastAsia" w:ascii="宋体" w:hAnsi="宋体" w:eastAsia="宋体"/>
          <w:sz w:val="24"/>
          <w:szCs w:val="24"/>
          <w:highlight w:val="none"/>
        </w:rPr>
        <w:t>将不</w:t>
      </w:r>
      <w:r>
        <w:rPr>
          <w:rFonts w:ascii="宋体" w:hAnsi="宋体" w:eastAsia="宋体"/>
          <w:sz w:val="24"/>
          <w:szCs w:val="24"/>
          <w:highlight w:val="none"/>
        </w:rPr>
        <w:t>晚于产品</w:t>
      </w:r>
      <w:r>
        <w:rPr>
          <w:rFonts w:hint="eastAsia" w:ascii="宋体" w:hAnsi="宋体" w:eastAsia="宋体"/>
          <w:sz w:val="24"/>
          <w:szCs w:val="24"/>
          <w:highlight w:val="none"/>
        </w:rPr>
        <w:t>计划成立日</w:t>
      </w:r>
      <w:r>
        <w:rPr>
          <w:rFonts w:ascii="宋体" w:hAnsi="宋体" w:eastAsia="宋体"/>
          <w:sz w:val="24"/>
          <w:szCs w:val="24"/>
          <w:highlight w:val="none"/>
        </w:rPr>
        <w:t>对产品不成立进行信息披露，在</w:t>
      </w:r>
      <w:r>
        <w:rPr>
          <w:rFonts w:hint="eastAsia" w:ascii="宋体" w:hAnsi="宋体" w:eastAsia="宋体"/>
          <w:sz w:val="24"/>
          <w:szCs w:val="24"/>
          <w:highlight w:val="none"/>
        </w:rPr>
        <w:t>认购</w:t>
      </w:r>
      <w:r>
        <w:rPr>
          <w:rFonts w:ascii="宋体" w:hAnsi="宋体" w:eastAsia="宋体"/>
          <w:sz w:val="24"/>
          <w:szCs w:val="24"/>
          <w:highlight w:val="none"/>
        </w:rPr>
        <w:t>期结束后5个工作日内，投资者认购资金（如已扣款至产品募集账户）将返还至投资者约定交易账户，</w:t>
      </w:r>
      <w:r>
        <w:rPr>
          <w:rFonts w:ascii="宋体" w:hAnsi="宋体" w:eastAsia="宋体"/>
          <w:b/>
          <w:bCs/>
          <w:sz w:val="24"/>
          <w:szCs w:val="24"/>
          <w:highlight w:val="none"/>
        </w:rPr>
        <w:t>在途期间投资者认购资金</w:t>
      </w:r>
      <w:r>
        <w:rPr>
          <w:rFonts w:hint="eastAsia" w:ascii="宋体" w:hAnsi="宋体" w:eastAsia="宋体"/>
          <w:b/>
          <w:bCs/>
          <w:sz w:val="24"/>
          <w:szCs w:val="24"/>
          <w:highlight w:val="none"/>
        </w:rPr>
        <w:t>管理人</w:t>
      </w:r>
      <w:r>
        <w:rPr>
          <w:rFonts w:ascii="宋体" w:hAnsi="宋体" w:eastAsia="宋体"/>
          <w:b/>
          <w:bCs/>
          <w:sz w:val="24"/>
          <w:szCs w:val="24"/>
          <w:highlight w:val="none"/>
        </w:rPr>
        <w:t>不计付利息。</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8"/>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不同类别份额的固定管理费分别计算并计提。计算方式如下：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。本理财产品每个自然日计提的固定管理费为各类份额每个自然日计提的固定管理费总和。</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销售服务费：销售服务机构收取理财产品销售服务费，产品成立日一次性计提，按日摊销</w:t>
      </w:r>
      <w:r>
        <w:rPr>
          <w:rFonts w:hint="eastAsia" w:ascii="宋体" w:hAnsi="宋体" w:eastAsia="宋体" w:cs="宋体"/>
          <w:b/>
          <w:bCs/>
          <w:color w:val="000000"/>
          <w:sz w:val="24"/>
          <w:szCs w:val="24"/>
          <w:highlight w:val="none"/>
        </w:rPr>
        <w:t>。</w:t>
      </w:r>
      <w:r>
        <w:rPr>
          <w:rFonts w:hint="eastAsia" w:ascii="宋体" w:hAnsi="宋体" w:eastAsia="宋体"/>
          <w:b/>
          <w:bCs/>
          <w:sz w:val="24"/>
          <w:szCs w:val="24"/>
          <w:highlight w:val="none"/>
        </w:rPr>
        <w:t>不同类别份额的销售服务费分别计算并计提。计算方式如下：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一次性计提销售服务费=产品成立日各类份额的份额数×相应份额的销售服务费率×产品预计存续期限÷365。</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。本理财产品计提的销售服务费为各类份额计提的销售服务费总和。</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rPr>
        <w:t>销售服务费于产品成立日一次性计提，按日摊销，托管人与管理人对计提金额核对一致后，按照管理人与销售服务机构约定的时间支付。因销售服务费在产品成立日一次性计提，将会减少本理财产品的初始投资本金，从而可能对本理财产品的投资收益产生一定影响。本产品为封闭式产品，除产品说明书另有约定外，在产品存续期内不开放申购和赎回。投资者在产品存续期内因有权机关执行扣划退出或因经管理人同意的其他特殊情形退出，本理财产品将从投资者回款中扣除退出份额对应的已计提未摊销销售服务费，所扣除的金额全部归为理财产品财产，其中：退出份额对应的已计提未摊销销售服务费</w:t>
      </w:r>
      <w:r>
        <w:rPr>
          <w:rFonts w:ascii="宋体" w:hAnsi="宋体" w:eastAsia="宋体"/>
          <w:b/>
          <w:bCs/>
          <w:sz w:val="24"/>
          <w:szCs w:val="24"/>
        </w:rPr>
        <w:t>=</w:t>
      </w:r>
      <w:r>
        <w:rPr>
          <w:rFonts w:hint="eastAsia" w:ascii="宋体" w:hAnsi="宋体" w:eastAsia="宋体"/>
          <w:b/>
          <w:bCs/>
          <w:sz w:val="24"/>
          <w:szCs w:val="24"/>
        </w:rPr>
        <w:t>确认的</w:t>
      </w:r>
      <w:r>
        <w:rPr>
          <w:rFonts w:ascii="宋体" w:hAnsi="宋体" w:eastAsia="宋体"/>
          <w:b/>
          <w:bCs/>
          <w:sz w:val="24"/>
          <w:szCs w:val="24"/>
        </w:rPr>
        <w:t>退出份额</w:t>
      </w:r>
      <w:r>
        <w:rPr>
          <w:rFonts w:hint="eastAsia" w:ascii="宋体" w:hAnsi="宋体" w:eastAsia="宋体"/>
          <w:b/>
          <w:bCs/>
          <w:sz w:val="24"/>
          <w:szCs w:val="24"/>
        </w:rPr>
        <w:t>数</w:t>
      </w:r>
      <w:r>
        <w:rPr>
          <w:rFonts w:ascii="宋体" w:hAnsi="宋体" w:eastAsia="宋体"/>
          <w:b/>
          <w:bCs/>
          <w:sz w:val="24"/>
          <w:szCs w:val="24"/>
        </w:rPr>
        <w:t>×销售服务费率×产品剩余期限/365，计算结果精确到小数点后2位，小数点2位以后四舍五入，其中产品剩余期限为从退出份额确认日（含）至产品计</w:t>
      </w:r>
      <w:r>
        <w:rPr>
          <w:rFonts w:hint="eastAsia" w:ascii="宋体" w:hAnsi="宋体" w:eastAsia="宋体"/>
          <w:b/>
          <w:bCs/>
          <w:sz w:val="24"/>
          <w:szCs w:val="24"/>
        </w:rPr>
        <w:t>划</w:t>
      </w:r>
      <w:r>
        <w:rPr>
          <w:rFonts w:ascii="宋体" w:hAnsi="宋体" w:eastAsia="宋体"/>
          <w:b/>
          <w:bCs/>
          <w:sz w:val="24"/>
          <w:szCs w:val="24"/>
        </w:rPr>
        <w:t>到期日（</w:t>
      </w:r>
      <w:r>
        <w:rPr>
          <w:rFonts w:hint="eastAsia" w:ascii="宋体" w:hAnsi="宋体" w:eastAsia="宋体"/>
          <w:b/>
          <w:bCs/>
          <w:sz w:val="24"/>
          <w:szCs w:val="24"/>
          <w:lang w:val="en-US" w:eastAsia="zh-CN"/>
        </w:rPr>
        <w:t>不</w:t>
      </w:r>
      <w:r>
        <w:rPr>
          <w:rFonts w:ascii="宋体" w:hAnsi="宋体" w:eastAsia="宋体"/>
          <w:b/>
          <w:bCs/>
          <w:sz w:val="24"/>
          <w:szCs w:val="24"/>
        </w:rPr>
        <w:t>含）的天数。在退出份额确认日当日，本理财产品将退出份额对应的已计提未摊销销售服务费一次性</w:t>
      </w:r>
      <w:r>
        <w:rPr>
          <w:rFonts w:hint="eastAsia" w:ascii="宋体" w:hAnsi="宋体" w:eastAsia="宋体"/>
          <w:b/>
          <w:bCs/>
          <w:sz w:val="24"/>
          <w:szCs w:val="24"/>
        </w:rPr>
        <w:t>摊销完成</w:t>
      </w:r>
      <w:r>
        <w:rPr>
          <w:rFonts w:ascii="宋体" w:hAnsi="宋体" w:eastAsia="宋体"/>
          <w:b/>
          <w:bCs/>
          <w:sz w:val="24"/>
          <w:szCs w:val="24"/>
        </w:rPr>
        <w:t>。</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超额业绩报酬：管理人收取理财产品超额业绩报酬。理财产品终止日或某类份额终止日的前一日为计提评价日，超额业绩报酬于计提评价日计提并于此后【</w:t>
      </w:r>
      <w:r>
        <w:rPr>
          <w:rFonts w:ascii="宋体" w:hAnsi="宋体" w:eastAsia="宋体"/>
          <w:b/>
          <w:bCs/>
          <w:sz w:val="24"/>
          <w:szCs w:val="24"/>
          <w:highlight w:val="none"/>
        </w:rPr>
        <w:t>10</w:t>
      </w:r>
      <w:r>
        <w:rPr>
          <w:rFonts w:hint="eastAsia" w:ascii="宋体" w:hAnsi="宋体" w:eastAsia="宋体"/>
          <w:b/>
          <w:bCs/>
          <w:sz w:val="24"/>
          <w:szCs w:val="24"/>
          <w:highlight w:val="none"/>
        </w:rPr>
        <w:t>】个工作日内支付</w:t>
      </w:r>
      <w:r>
        <w:rPr>
          <w:rFonts w:ascii="宋体" w:hAnsi="宋体" w:eastAsia="宋体"/>
          <w:b/>
          <w:bCs/>
          <w:sz w:val="24"/>
          <w:szCs w:val="24"/>
          <w:highlight w:val="none"/>
        </w:rPr>
        <w:t>,</w:t>
      </w:r>
      <w:r>
        <w:rPr>
          <w:rFonts w:hint="eastAsia" w:ascii="宋体" w:hAnsi="宋体" w:eastAsia="宋体"/>
          <w:b/>
          <w:bCs/>
          <w:sz w:val="24"/>
          <w:szCs w:val="24"/>
          <w:highlight w:val="none"/>
        </w:rPr>
        <w:t>超额业绩报酬精确到小数点后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。根据计算方式得到的超额业绩报酬大于</w:t>
      </w:r>
      <w:r>
        <w:rPr>
          <w:rFonts w:ascii="宋体" w:hAnsi="宋体" w:eastAsia="宋体"/>
          <w:b/>
          <w:bCs/>
          <w:sz w:val="24"/>
          <w:szCs w:val="24"/>
          <w:highlight w:val="none"/>
        </w:rPr>
        <w:t>0</w:t>
      </w:r>
      <w:r>
        <w:rPr>
          <w:rFonts w:hint="eastAsia" w:ascii="宋体" w:hAnsi="宋体" w:eastAsia="宋体"/>
          <w:b/>
          <w:bCs/>
          <w:sz w:val="24"/>
          <w:szCs w:val="24"/>
          <w:highlight w:val="none"/>
        </w:rPr>
        <w:t>时，方可计提超额业绩报酬。不同类别份额的超额业绩报酬分别计算并计提。</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超额业绩报酬的计算方式为：</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各类份额年化的名义份额净值收益率超过相应份额的超额业绩报酬计提基准时，计提超出部分的</w:t>
      </w:r>
      <w:r>
        <w:rPr>
          <w:rFonts w:ascii="宋体" w:hAnsi="宋体" w:eastAsia="宋体"/>
          <w:b/>
          <w:bCs/>
          <w:sz w:val="24"/>
          <w:szCs w:val="24"/>
          <w:highlight w:val="none"/>
        </w:rPr>
        <w:t>50%</w:t>
      </w:r>
      <w:r>
        <w:rPr>
          <w:rFonts w:hint="eastAsia" w:ascii="宋体" w:hAnsi="宋体" w:eastAsia="宋体"/>
          <w:b/>
          <w:bCs/>
          <w:sz w:val="24"/>
          <w:szCs w:val="24"/>
          <w:highlight w:val="none"/>
        </w:rPr>
        <w:t>作为超额业绩报酬。计算公式如下：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各类份额计提评价日应计提的超额业绩报酬</w:t>
      </w:r>
      <w:r>
        <w:rPr>
          <w:rFonts w:ascii="宋体" w:hAnsi="宋体" w:eastAsia="宋体"/>
          <w:b/>
          <w:bCs/>
          <w:sz w:val="24"/>
          <w:szCs w:val="24"/>
          <w:highlight w:val="none"/>
        </w:rPr>
        <w:t>=(</w:t>
      </w:r>
      <w:r>
        <w:rPr>
          <w:rFonts w:hint="eastAsia" w:ascii="宋体" w:hAnsi="宋体" w:eastAsia="宋体"/>
          <w:b/>
          <w:bCs/>
          <w:sz w:val="24"/>
          <w:szCs w:val="24"/>
          <w:highlight w:val="none"/>
        </w:rPr>
        <w:t>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相应份额超额业绩报酬计提基准×区间天数÷</w:t>
      </w:r>
      <w:r>
        <w:rPr>
          <w:rFonts w:ascii="宋体" w:hAnsi="宋体" w:eastAsia="宋体"/>
          <w:b/>
          <w:bCs/>
          <w:sz w:val="24"/>
          <w:szCs w:val="24"/>
          <w:highlight w:val="none"/>
        </w:rPr>
        <w:t>365</w:t>
      </w:r>
      <w:r>
        <w:rPr>
          <w:rFonts w:hint="eastAsia" w:ascii="宋体" w:hAnsi="宋体" w:eastAsia="宋体"/>
          <w:b/>
          <w:bCs/>
          <w:sz w:val="24"/>
          <w:szCs w:val="24"/>
          <w:highlight w:val="none"/>
        </w:rPr>
        <w:t>）×理财产品计提评价日的相应份额的总份额×</w:t>
      </w:r>
      <w:r>
        <w:rPr>
          <w:rFonts w:ascii="宋体" w:hAnsi="宋体" w:eastAsia="宋体"/>
          <w:b/>
          <w:bCs/>
          <w:sz w:val="24"/>
          <w:szCs w:val="24"/>
          <w:highlight w:val="none"/>
        </w:rPr>
        <w:t>50%</w:t>
      </w:r>
      <w:r>
        <w:rPr>
          <w:rFonts w:hint="eastAsia" w:ascii="宋体" w:hAnsi="宋体" w:eastAsia="宋体"/>
          <w:b/>
          <w:bCs/>
          <w:sz w:val="24"/>
          <w:szCs w:val="24"/>
          <w:highlight w:val="none"/>
        </w:rPr>
        <w:t>，其中，相应份额名义份额净值收益率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（该计提评价日的理财产品相应份额的累计份额净值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产品相应份额单位份额发行价格）÷产品相应份额单位份额发行价格。区间天数是指理财产品成立日（含），截止到计提评价日当天（含）的实际天数。理财产品相应份额的累计份额净值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相应份额的资产净值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相应份额的总份额</w:t>
      </w:r>
      <w:r>
        <w:rPr>
          <w:rFonts w:ascii="宋体" w:hAnsi="宋体" w:eastAsia="宋体"/>
          <w:b/>
          <w:bCs/>
          <w:sz w:val="24"/>
          <w:szCs w:val="24"/>
          <w:highlight w:val="none"/>
        </w:rPr>
        <w:t>+</w:t>
      </w:r>
      <w:r>
        <w:rPr>
          <w:rFonts w:hint="eastAsia" w:ascii="宋体" w:hAnsi="宋体" w:eastAsia="宋体"/>
          <w:b/>
          <w:bCs/>
          <w:sz w:val="24"/>
          <w:szCs w:val="24"/>
          <w:highlight w:val="none"/>
        </w:rPr>
        <w:t>产品成立以来相应份额累计单位分红金额。相应份额的累计份额净值四舍五入保留</w:t>
      </w:r>
      <w:r>
        <w:rPr>
          <w:rFonts w:ascii="宋体" w:hAnsi="宋体" w:eastAsia="宋体"/>
          <w:b/>
          <w:bCs/>
          <w:sz w:val="24"/>
          <w:szCs w:val="24"/>
          <w:highlight w:val="none"/>
        </w:rPr>
        <w:t>6</w:t>
      </w:r>
      <w:r>
        <w:rPr>
          <w:rFonts w:hint="eastAsia" w:ascii="宋体" w:hAnsi="宋体" w:eastAsia="宋体"/>
          <w:b/>
          <w:bCs/>
          <w:sz w:val="24"/>
          <w:szCs w:val="24"/>
          <w:highlight w:val="none"/>
        </w:rPr>
        <w:t>位小数。</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本理财产品收取的超额业绩报酬为各类份额超额业绩报酬的总和。</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产品管理人将产品存续期内每个自然日视作计提评价日，并按照产品说明书约定的超额业绩报酬计算方法暂估计提，用于产品估值核算，投资者需知悉，管理人对外披露的净值为暂估计提超额业绩报酬后的结果，但仅以本理财产品终止日或某类份额终止日的前一日确认计提的超额业绩报酬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1"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1"/>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2.如产品正常到期或提前终止，理财资金于到期日（实际到期日或提前终止</w:t>
      </w:r>
      <w:r>
        <w:rPr>
          <w:rFonts w:hint="eastAsia" w:ascii="宋体" w:hAnsi="宋体" w:eastAsia="宋体"/>
          <w:sz w:val="24"/>
          <w:szCs w:val="24"/>
          <w:highlight w:val="none"/>
        </w:rPr>
        <w:t>日）后【</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个工作日内根据实际情况一次性分配，如遇非工作日则顺延至下一</w:t>
      </w:r>
      <w:r>
        <w:rPr>
          <w:rFonts w:hint="eastAsia" w:ascii="宋体" w:hAnsi="宋体" w:eastAsia="宋体"/>
          <w:sz w:val="24"/>
          <w:szCs w:val="24"/>
          <w:highlight w:val="none"/>
        </w:rPr>
        <w:t>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=到期日产品某</w:t>
      </w:r>
      <w:r>
        <w:rPr>
          <w:rFonts w:hint="eastAsia" w:ascii="宋体" w:hAnsi="宋体" w:eastAsia="宋体"/>
          <w:sz w:val="24"/>
          <w:szCs w:val="24"/>
          <w:highlight w:val="none"/>
        </w:rPr>
        <w:t>类</w:t>
      </w:r>
      <w:r>
        <w:rPr>
          <w:rFonts w:ascii="宋体" w:hAnsi="宋体" w:eastAsia="宋体"/>
          <w:sz w:val="24"/>
          <w:szCs w:val="24"/>
          <w:highlight w:val="none"/>
        </w:rPr>
        <w:t>份额可分配的总金额/产品某</w:t>
      </w:r>
      <w:r>
        <w:rPr>
          <w:rFonts w:hint="eastAsia" w:ascii="宋体" w:hAnsi="宋体" w:eastAsia="宋体"/>
          <w:sz w:val="24"/>
          <w:szCs w:val="24"/>
          <w:highlight w:val="none"/>
        </w:rPr>
        <w:t>类</w:t>
      </w:r>
      <w:r>
        <w:rPr>
          <w:rFonts w:ascii="宋体" w:hAnsi="宋体" w:eastAsia="宋体"/>
          <w:sz w:val="24"/>
          <w:szCs w:val="24"/>
          <w:highlight w:val="none"/>
        </w:rPr>
        <w:t>份额总份额*投资者</w:t>
      </w:r>
      <w:r>
        <w:rPr>
          <w:rFonts w:hint="eastAsia" w:ascii="宋体" w:hAnsi="宋体" w:eastAsia="宋体"/>
          <w:sz w:val="24"/>
          <w:szCs w:val="24"/>
          <w:highlight w:val="none"/>
        </w:rPr>
        <w:t>持有</w:t>
      </w:r>
      <w:r>
        <w:rPr>
          <w:rFonts w:ascii="宋体" w:hAnsi="宋体" w:eastAsia="宋体"/>
          <w:sz w:val="24"/>
          <w:szCs w:val="24"/>
          <w:highlight w:val="none"/>
        </w:rPr>
        <w:t>某</w:t>
      </w:r>
      <w:r>
        <w:rPr>
          <w:rFonts w:hint="eastAsia" w:ascii="宋体" w:hAnsi="宋体" w:eastAsia="宋体"/>
          <w:sz w:val="24"/>
          <w:szCs w:val="24"/>
          <w:highlight w:val="none"/>
        </w:rPr>
        <w:t>类</w:t>
      </w:r>
      <w:r>
        <w:rPr>
          <w:rFonts w:ascii="宋体" w:hAnsi="宋体" w:eastAsia="宋体"/>
          <w:sz w:val="24"/>
          <w:szCs w:val="24"/>
          <w:highlight w:val="none"/>
        </w:rPr>
        <w:t>份额</w:t>
      </w:r>
      <w:r>
        <w:rPr>
          <w:rFonts w:hint="eastAsia" w:ascii="宋体" w:hAnsi="宋体" w:eastAsia="宋体"/>
          <w:sz w:val="24"/>
          <w:szCs w:val="24"/>
          <w:highlight w:val="none"/>
        </w:rPr>
        <w:t>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lang w:eastAsia="zh-CN"/>
        </w:rPr>
      </w:pPr>
      <w:r>
        <w:rPr>
          <w:rFonts w:hint="eastAsia" w:ascii="宋体" w:hAnsi="宋体" w:eastAsia="宋体"/>
          <w:sz w:val="24"/>
          <w:szCs w:val="24"/>
          <w:highlight w:val="none"/>
        </w:rPr>
        <w:t>（8）所投资资产部分或全部提前偿付</w:t>
      </w:r>
      <w:r>
        <w:rPr>
          <w:rFonts w:hint="eastAsia" w:ascii="宋体" w:hAnsi="宋体" w:eastAsia="宋体"/>
          <w:sz w:val="24"/>
          <w:szCs w:val="24"/>
          <w:highlight w:val="none"/>
          <w:lang w:eastAsia="zh-CN"/>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理财产品到期日为理财产品终止日（含提前终止）。产品到期后，理财产品终止运作，进入清算期，清算期不计算投资收益。理财资产清算后扣除理财相关费用、缴纳所欠税款并清偿理财产品负债后，理财利益按投资者持有的理财产品份额比例进行分配。清算期原则上不得超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个工作日，清算期超过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如遇国家金融政策、监管政策、相关法律法规发生变化，或本产品所投资资产的市场发生重大市场波动，或融资方、资产发行人及交易方出现违约或未按约定偿还本息、或投资市场出现流动性不足、资产未能正常买卖结算或后续加入资金不足及其他情形导致投资资产不能及时变现，则渤银理财有权将产品实际结算延长至相关投资资产变现或追偿处置完毕为止，本产品管理人将尽快对相关资产进行变现，并将变现后的非现金类资产与原有现金类资产在扣除相关费用后向投资者分配。延长期内不计收益，延期清算期间不计付利息。</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7.</w:t>
      </w:r>
      <w:r>
        <w:rPr>
          <w:rFonts w:ascii="宋体" w:hAnsi="宋体" w:eastAsia="宋体"/>
          <w:b/>
          <w:bCs/>
          <w:sz w:val="24"/>
          <w:szCs w:val="24"/>
          <w:highlight w:val="none"/>
        </w:rPr>
        <w:t>管理人有权决定非标准化债权</w:t>
      </w:r>
      <w:r>
        <w:rPr>
          <w:rFonts w:hint="eastAsia" w:ascii="宋体" w:hAnsi="宋体" w:eastAsia="宋体"/>
          <w:b/>
          <w:bCs/>
          <w:sz w:val="24"/>
          <w:szCs w:val="24"/>
          <w:highlight w:val="none"/>
        </w:rPr>
        <w:t>类</w:t>
      </w:r>
      <w:r>
        <w:rPr>
          <w:rFonts w:ascii="宋体" w:hAnsi="宋体" w:eastAsia="宋体"/>
          <w:b/>
          <w:bCs/>
          <w:sz w:val="24"/>
          <w:szCs w:val="24"/>
          <w:highlight w:val="none"/>
        </w:rPr>
        <w:t>资产投资的管理、合同条款变更、赎回、处</w:t>
      </w:r>
      <w:r>
        <w:rPr>
          <w:rFonts w:hint="eastAsia" w:ascii="宋体" w:hAnsi="宋体" w:eastAsia="宋体"/>
          <w:b/>
          <w:bCs/>
          <w:sz w:val="24"/>
          <w:szCs w:val="24"/>
          <w:highlight w:val="none"/>
        </w:rPr>
        <w:t>置与披露事宜，并有权指令信托受托人（如有）按管理人指令执行，包括但不限于：有权决定非标准化债权类资产及其底层资产投放的先决条件是否放弃或延后、有权决定非标准化债权投资的相关罚息的降低或免除、有权决定是否同意非标准化债权类资产的债务人提前还款（含全部及部分）或展期及展期条件、有权决定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2.</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，地址</w:t>
      </w:r>
      <w:r>
        <w:rPr>
          <w:rFonts w:hint="eastAsia" w:ascii="宋体" w:hAnsi="宋体" w:eastAsia="宋体"/>
          <w:sz w:val="24"/>
          <w:szCs w:val="24"/>
          <w:highlight w:val="none"/>
          <w:lang w:val="en-US" w:eastAsia="zh-CN"/>
        </w:rPr>
        <w:t>为天津市海河东路218号渤海银行大厦</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2" w:name="_Hlk136876402"/>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长沙银行股份有限公司，住所：湖南省长沙市岳麓区滨江路53号楷林商务中心B座，客户服务热线：0731-96511。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嘉兴银行股份有限公司，住所：浙江省嘉兴市昌盛南路1001号，客户服务热线：0573-96528。</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吉林银行股份有限公司，住所：吉林省长春市南关区人民大街10666号，客户服务热线：4008896666。</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吉林银行股份有限公司，住所：吉林省长春市南关区人民大街10666号，客户服务热线：4008896666。</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湖南银行股份有限公司，住所：湖南省长沙市天心区湘湖中路二段210号，客户服务热线：0731-96599。</w:t>
      </w:r>
    </w:p>
    <w:p>
      <w:pPr>
        <w:spacing w:line="300" w:lineRule="auto"/>
        <w:ind w:firstLine="482" w:firstLineChars="200"/>
        <w:outlineLvl w:val="9"/>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2"/>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BCC1E8BF"/>
    <w:multiLevelType w:val="singleLevel"/>
    <w:tmpl w:val="BCC1E8BF"/>
    <w:lvl w:ilvl="0" w:tentative="0">
      <w:start w:val="1"/>
      <w:numFmt w:val="decimal"/>
      <w:lvlText w:val="%1."/>
      <w:lvlJc w:val="left"/>
      <w:pPr>
        <w:tabs>
          <w:tab w:val="left" w:pos="312"/>
        </w:tabs>
      </w:pPr>
    </w:lvl>
  </w:abstractNum>
  <w:abstractNum w:abstractNumId="2">
    <w:nsid w:val="C507B729"/>
    <w:multiLevelType w:val="singleLevel"/>
    <w:tmpl w:val="C507B729"/>
    <w:lvl w:ilvl="0" w:tentative="0">
      <w:start w:val="4"/>
      <w:numFmt w:val="decimal"/>
      <w:lvlText w:val="%1."/>
      <w:lvlJc w:val="left"/>
      <w:pPr>
        <w:tabs>
          <w:tab w:val="left" w:pos="312"/>
        </w:tabs>
      </w:pPr>
    </w:lvl>
  </w:abstractNum>
  <w:abstractNum w:abstractNumId="3">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5">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6">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7">
    <w:nsid w:val="57E61E1F"/>
    <w:multiLevelType w:val="singleLevel"/>
    <w:tmpl w:val="57E61E1F"/>
    <w:lvl w:ilvl="0" w:tentative="0">
      <w:start w:val="1"/>
      <w:numFmt w:val="chineseCounting"/>
      <w:suff w:val="nothing"/>
      <w:lvlText w:val="（%1）"/>
      <w:lvlJc w:val="left"/>
      <w:rPr>
        <w:rFonts w:hint="eastAsia"/>
      </w:rPr>
    </w:lvl>
  </w:abstractNum>
  <w:abstractNum w:abstractNumId="8">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3"/>
  </w:num>
  <w:num w:numId="2">
    <w:abstractNumId w:val="4"/>
  </w:num>
  <w:num w:numId="3">
    <w:abstractNumId w:val="5"/>
  </w:num>
  <w:num w:numId="4">
    <w:abstractNumId w:val="8"/>
  </w:num>
  <w:num w:numId="5">
    <w:abstractNumId w:val="6"/>
  </w:num>
  <w:num w:numId="6">
    <w:abstractNumId w:val="0"/>
  </w:num>
  <w:num w:numId="7">
    <w:abstractNumId w:val="1"/>
  </w:num>
  <w:num w:numId="8">
    <w:abstractNumId w:val="7"/>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C7B1EA1"/>
    <w:rsid w:val="030B5ACF"/>
    <w:rsid w:val="04E50476"/>
    <w:rsid w:val="055D6A33"/>
    <w:rsid w:val="05927E6B"/>
    <w:rsid w:val="06F074F5"/>
    <w:rsid w:val="071D4DBF"/>
    <w:rsid w:val="0921126D"/>
    <w:rsid w:val="0AA507A1"/>
    <w:rsid w:val="0AAC795A"/>
    <w:rsid w:val="0B06300E"/>
    <w:rsid w:val="105B0D7E"/>
    <w:rsid w:val="10D576BD"/>
    <w:rsid w:val="13877FA5"/>
    <w:rsid w:val="150418B2"/>
    <w:rsid w:val="17111948"/>
    <w:rsid w:val="183C63A6"/>
    <w:rsid w:val="22CA7204"/>
    <w:rsid w:val="23715A4E"/>
    <w:rsid w:val="28E70138"/>
    <w:rsid w:val="2FA24D72"/>
    <w:rsid w:val="2FDA3B50"/>
    <w:rsid w:val="37193EB8"/>
    <w:rsid w:val="37273711"/>
    <w:rsid w:val="37767C66"/>
    <w:rsid w:val="39FA52B9"/>
    <w:rsid w:val="3C760196"/>
    <w:rsid w:val="3C7B1EA1"/>
    <w:rsid w:val="3E452107"/>
    <w:rsid w:val="3FCC3764"/>
    <w:rsid w:val="43D82687"/>
    <w:rsid w:val="44934C74"/>
    <w:rsid w:val="46F92CEA"/>
    <w:rsid w:val="4BD86BC9"/>
    <w:rsid w:val="4E1D1432"/>
    <w:rsid w:val="4FDC3E27"/>
    <w:rsid w:val="50BB2051"/>
    <w:rsid w:val="51465A55"/>
    <w:rsid w:val="558F6410"/>
    <w:rsid w:val="55DF1569"/>
    <w:rsid w:val="58E579F7"/>
    <w:rsid w:val="5A0D074E"/>
    <w:rsid w:val="5FEE2B41"/>
    <w:rsid w:val="63A436C8"/>
    <w:rsid w:val="66570B05"/>
    <w:rsid w:val="68F74E80"/>
    <w:rsid w:val="6B4F5687"/>
    <w:rsid w:val="6CD954DC"/>
    <w:rsid w:val="6D2A34E7"/>
    <w:rsid w:val="71D227A7"/>
    <w:rsid w:val="77DA2C16"/>
    <w:rsid w:val="7C9B01B2"/>
    <w:rsid w:val="7F8936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7">
    <w:name w:val="List Paragraph"/>
    <w:basedOn w:val="1"/>
    <w:qFormat/>
    <w:uiPriority w:val="34"/>
    <w:pPr>
      <w:ind w:firstLine="420" w:firstLineChars="200"/>
    </w:pPr>
  </w:style>
  <w:style w:type="paragraph" w:customStyle="1" w:styleId="8">
    <w:name w:val="列表段落1"/>
    <w:basedOn w:val="1"/>
    <w:qFormat/>
    <w:uiPriority w:val="0"/>
    <w:pPr>
      <w:ind w:firstLine="420" w:firstLineChars="200"/>
    </w:p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2026-07-02T05:43:00Z</dcterms:created>
  <cp:lastModifiedBy>qianyi.jia</cp:lastModifiedBy>
  <dcterms:modified xsi:type="dcterms:W3CDTF">2026-07-02T08:54:58Z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