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渤银理财财收有略系列固定收益类六个月封闭式理财产品2026年59号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Z7008426000648</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6"/>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highlight w:val="none"/>
        </w:rPr>
      </w:pPr>
      <w:r>
        <w:rPr>
          <w:rFonts w:hint="eastAsia"/>
          <w:highlight w:val="none"/>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投资于收益凭证的风险</w:t>
      </w:r>
    </w:p>
    <w:p>
      <w:pPr>
        <w:spacing w:line="360" w:lineRule="auto"/>
        <w:ind w:firstLine="420" w:firstLineChars="200"/>
        <w:rPr>
          <w:rFonts w:hint="eastAsia"/>
          <w:highlight w:val="none"/>
        </w:rPr>
      </w:pPr>
      <w:r>
        <w:rPr>
          <w:rFonts w:hint="eastAsia"/>
          <w:highlight w:val="none"/>
        </w:rPr>
        <w:t>本理财产品如投资于收益凭证，则本理财产品可能面临的风险包括但不限于：</w:t>
      </w:r>
    </w:p>
    <w:p>
      <w:pPr>
        <w:spacing w:line="360" w:lineRule="auto"/>
        <w:ind w:firstLine="420" w:firstLineChars="200"/>
        <w:rPr>
          <w:rFonts w:hint="eastAsia"/>
          <w:highlight w:val="none"/>
        </w:rPr>
      </w:pPr>
      <w:r>
        <w:rPr>
          <w:rFonts w:hint="eastAsia"/>
          <w:highlight w:val="none"/>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highlight w:val="none"/>
        </w:rPr>
      </w:pPr>
      <w:r>
        <w:rPr>
          <w:rFonts w:hint="eastAsia"/>
          <w:highlight w:val="none"/>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highlight w:val="none"/>
        </w:rPr>
      </w:pPr>
      <w:r>
        <w:rPr>
          <w:rFonts w:hint="eastAsia"/>
          <w:highlight w:val="none"/>
        </w:rPr>
        <w:t>C操作风险。由于证券公司内部管理流程缺陷、人员操作失误、不合规或者外部事件等原因而导致损失的风险；</w:t>
      </w:r>
    </w:p>
    <w:p>
      <w:pPr>
        <w:spacing w:line="360" w:lineRule="auto"/>
        <w:ind w:firstLine="420" w:firstLineChars="200"/>
        <w:rPr>
          <w:rFonts w:hint="eastAsia"/>
          <w:highlight w:val="none"/>
        </w:rPr>
      </w:pPr>
      <w:r>
        <w:rPr>
          <w:rFonts w:hint="eastAsia"/>
          <w:highlight w:val="none"/>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highlight w:val="none"/>
        </w:rPr>
      </w:pPr>
      <w:r>
        <w:rPr>
          <w:rFonts w:hint="eastAsia"/>
          <w:highlight w:val="none"/>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highlight w:val="none"/>
        </w:rPr>
      </w:pPr>
      <w:r>
        <w:rPr>
          <w:rFonts w:hint="eastAsia"/>
          <w:highlight w:val="none"/>
        </w:rPr>
        <w:t>投资于商品及金融衍生品的特殊风险</w:t>
      </w:r>
    </w:p>
    <w:p>
      <w:pPr>
        <w:spacing w:line="360" w:lineRule="auto"/>
        <w:ind w:firstLine="420" w:firstLineChars="200"/>
        <w:rPr>
          <w:rFonts w:hint="eastAsia"/>
          <w:highlight w:val="none"/>
        </w:rPr>
      </w:pPr>
      <w:r>
        <w:rPr>
          <w:rFonts w:hint="eastAsia"/>
          <w:highlight w:val="none"/>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highlight w:val="none"/>
        </w:rPr>
      </w:pPr>
      <w:r>
        <w:rPr>
          <w:rFonts w:hint="eastAsia"/>
          <w:highlight w:val="none"/>
        </w:rPr>
        <w:t>投资于混合类/衍生品类资产管理产品的特殊风险</w:t>
      </w:r>
    </w:p>
    <w:p>
      <w:pPr>
        <w:spacing w:line="360" w:lineRule="auto"/>
        <w:ind w:firstLine="420" w:firstLineChars="200"/>
        <w:rPr>
          <w:rFonts w:hint="eastAsia"/>
          <w:highlight w:val="none"/>
        </w:rPr>
      </w:pPr>
      <w:r>
        <w:rPr>
          <w:rFonts w:hint="eastAsia"/>
          <w:highlight w:val="none"/>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highlight w:val="none"/>
        </w:rPr>
      </w:pPr>
      <w:r>
        <w:rPr>
          <w:rFonts w:hint="eastAsia"/>
          <w:highlight w:val="none"/>
        </w:rPr>
        <w:t>A国家货币政策、财政政策、产业政策等的变化对证券市场产生一定影响，导致市场价格水平波动的风险；</w:t>
      </w:r>
    </w:p>
    <w:p>
      <w:pPr>
        <w:spacing w:line="360" w:lineRule="auto"/>
        <w:ind w:firstLine="420" w:firstLineChars="200"/>
        <w:rPr>
          <w:rFonts w:hint="eastAsia"/>
          <w:highlight w:val="none"/>
        </w:rPr>
      </w:pPr>
      <w:r>
        <w:rPr>
          <w:rFonts w:hint="eastAsia"/>
          <w:highlight w:val="none"/>
        </w:rPr>
        <w:t>B宏观经济运行周期性波动，对股票市场的收益水平产生影响的风险；</w:t>
      </w:r>
    </w:p>
    <w:p>
      <w:pPr>
        <w:spacing w:line="360" w:lineRule="auto"/>
        <w:ind w:firstLine="420" w:firstLineChars="200"/>
        <w:rPr>
          <w:rFonts w:hint="eastAsia"/>
          <w:highlight w:val="none"/>
        </w:rPr>
      </w:pPr>
      <w:r>
        <w:rPr>
          <w:rFonts w:hint="eastAsia"/>
          <w:highlight w:val="none"/>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highlight w:val="none"/>
        </w:rPr>
      </w:pPr>
      <w:r>
        <w:rPr>
          <w:rFonts w:hint="eastAsia"/>
          <w:highlight w:val="none"/>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highlight w:val="none"/>
        </w:rPr>
      </w:pPr>
      <w:r>
        <w:rPr>
          <w:rFonts w:hint="eastAsia"/>
          <w:highlight w:val="none"/>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highlight w:val="none"/>
        </w:rPr>
      </w:pPr>
      <w:r>
        <w:rPr>
          <w:rFonts w:hint="eastAsia"/>
          <w:highlight w:val="none"/>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217</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r>
        <w:rPr>
          <w:rFonts w:hint="eastAsia" w:ascii="宋体" w:hAnsi="宋体" w:cs="宋体"/>
          <w:szCs w:val="21"/>
          <w:highlight w:val="none"/>
        </w:rPr>
        <w:t>（本风险揭示书共有两份签名文本，第一联销售服务机构留存，第二联投资者留存）</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黑体" w:hAnsi="黑体" w:eastAsia="黑体"/>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MeXtc4xAgAAYQQAAA4AAABkcnMvZTJvRG9jLnhtbK1US44TMRDdI3EH y3vSSRCjKEpnFCYKQoqYkQJi7bjdaUv+yXbSHQ4AN2DFhj3nyjl47k8GDSxmwcZddpVf+b2q6sVt oxU5CR+kNTmdjMaUCMNtIc0hp58+bl7NKAmRmYIpa0ROzyLQ2+XLF4vazcXUVlYVwhOAmDCvXU6r GN08ywKvhGZhZJ0wcJbWaxax9Yes8KwGulbZdDy+yWrrC+ctFyHgdN05aY/onwNoy1Jysbb8qIWJ HaoXikVQCpV0gS7b15al4PG+LIOIROUUTGO7IgnsfVqz5YLND565SvL+Cew5T3jCSTNpkPQKtWaR kaOXf0Fpyb0NtowjbnXWEWkVAYvJ+Ik2u4o50XKB1MFdRQ//D5Z/OD14IoucouyGaRT88v3b5cev y8+vZJbkqV2YI2rnEBebt7ZB0wznAYeJdVN6nb7gQ+CHuOeruKKJhKdLs+lsNoaLwzdsgJ89Xnc+ xHfCapKMnHpUrxWVnbYhdqFDSMpm7EYq1VZQGVLn9Ob1m3F74eoBuDLIkUh0j01WbPZNz2xvizOI edt1RnB8I5F8y0J8YB6tgAdjWOI9llJZJLG9RUll/Zd/nad4VAheSmq0Vk4NJokS9d6gcgCMg+EH Yz8Y5qjvLHp1giF0vDVxwUc1mKW3+jMmaJVywMUMR6acxsG8i117YwK5WK3aoKPz8lB1F9B3jsWt 2Tme0iQhg1sdI8RsNU4Cdar0uqHz2ir1U5Ja+899G/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DHl7XOMQIAAGEEAAAOAAAAAAAAAAEAIAAAAB8BAABkcnMvZTJvRG9jLnhtbFBLBQYA AAAABgAGAFkBAADCBQAAAAA= ">
              <v:fill on="f" focussize="0,0"/>
              <v:stroke on="f" weight="0.5pt"/>
              <v:imagedata o:title=""/>
              <o:lock v:ext="edit" aspectratio="f"/>
              <v:textbox inset="0mm,0mm,0mm,0mm" style="mso-fit-shape-to-text:t;">
                <w:txbxContent>
                  <w:p>
                    <w:pPr>
                      <w:pStyle w:val="2"/>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v:textbox>
            </v:shape>
          </w:pict>
        </mc:Fallback>
      </mc:AlternateContent>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wordWrap/>
      <w:adjustRightInd/>
      <w:jc w:val="right"/>
      <w:outlineLvl w:val="9"/>
      <w:rPr>
        <w:b/>
      </w:rPr>
    </w:pPr>
    <w:r>
      <w:rPr>
        <w:rFonts w:hint="eastAsia" w:ascii="微软雅黑" w:hAnsi="微软雅黑" w:eastAsia="微软雅黑" w:cs="微软雅黑"/>
        <w:sz w:val="21"/>
        <w:szCs w:val="21"/>
      </w:rPr>
      <w:t>理财非存款，产品有风险，投资须谨慎！</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3D6813"/>
    <w:rsid w:val="233D6813"/>
    <w:rsid w:val="3C1B1A12"/>
    <w:rsid w:val="48AE70DB"/>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annotation reference"/>
    <w:basedOn w:val="5"/>
    <w:qFormat/>
    <w:uiPriority w:val="0"/>
    <w:rPr>
      <w:sz w:val="21"/>
      <w:szCs w:val="21"/>
    </w:rPr>
  </w:style>
  <w:style w:type="paragraph" w:customStyle="1" w:styleId="7">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2026-07-01T06:28:00Z</dcterms:created>
  <cp:lastModifiedBy>bylccpglb</cp:lastModifiedBy>
  <dcterms:modified xsi:type="dcterms:W3CDTF">2026-07-01T07:50:46Z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398292F9DD9F404481E86B6B8BB4BD86</vt:lpwstr>
  </property>
</Properties>
</file>