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highlight w:val="none"/>
        </w:rPr>
      </w:pPr>
      <w:bookmarkStart w:id="81" w:name="_GoBack"/>
      <w:bookmarkEnd w:id="81"/>
      <w:r>
        <w:rPr>
          <w:rFonts w:hint="eastAsia" w:ascii="宋体" w:hAnsi="宋体"/>
          <w:b/>
          <w:sz w:val="30"/>
          <w:szCs w:val="30"/>
          <w:highlight w:val="none"/>
        </w:rPr>
        <w:t>理财非存款、产品有风险、投资须谨慎！</w:t>
      </w:r>
    </w:p>
    <w:p>
      <w:pPr>
        <w:tabs>
          <w:tab w:val="left" w:pos="6660"/>
        </w:tabs>
        <w:spacing w:line="360" w:lineRule="auto"/>
        <w:jc w:val="center"/>
        <w:rPr>
          <w:bCs/>
          <w:sz w:val="44"/>
          <w:highlight w:val="none"/>
        </w:rPr>
      </w:pPr>
    </w:p>
    <w:p>
      <w:pPr>
        <w:spacing w:line="360" w:lineRule="auto"/>
        <w:jc w:val="center"/>
        <w:rPr>
          <w:b/>
          <w:sz w:val="52"/>
          <w:highlight w:val="none"/>
        </w:rPr>
      </w:pPr>
    </w:p>
    <w:p>
      <w:pPr>
        <w:spacing w:line="360" w:lineRule="auto"/>
        <w:jc w:val="center"/>
        <w:rPr>
          <w:b/>
          <w:highlight w:val="none"/>
        </w:rPr>
      </w:pPr>
    </w:p>
    <w:p>
      <w:pPr>
        <w:spacing w:line="360" w:lineRule="auto"/>
        <w:jc w:val="center"/>
        <w:rPr>
          <w:b/>
          <w:sz w:val="52"/>
          <w:highlight w:val="none"/>
        </w:rPr>
      </w:pPr>
    </w:p>
    <w:p>
      <w:pPr>
        <w:adjustRightInd w:val="0"/>
        <w:spacing w:line="360" w:lineRule="auto"/>
        <w:jc w:val="center"/>
        <w:outlineLvl w:val="0"/>
        <w:rPr>
          <w:rStyle w:val="8"/>
          <w:rFonts w:ascii="黑体" w:hAnsi="黑体" w:eastAsia="黑体" w:cs="宋体"/>
          <w:sz w:val="44"/>
          <w:szCs w:val="44"/>
          <w:highlight w:val="none"/>
        </w:rPr>
      </w:pPr>
      <w:r>
        <w:rPr>
          <w:rStyle w:val="8"/>
          <w:rFonts w:hint="eastAsia" w:ascii="黑体" w:hAnsi="黑体" w:eastAsia="黑体" w:cs="宋体"/>
          <w:sz w:val="44"/>
          <w:szCs w:val="44"/>
          <w:highlight w:val="none"/>
        </w:rPr>
        <w:t>渤银理财【财收有略】理财产品投资协议书</w:t>
      </w:r>
    </w:p>
    <w:p>
      <w:pPr>
        <w:spacing w:line="360" w:lineRule="auto"/>
        <w:jc w:val="center"/>
        <w:rPr>
          <w:b/>
          <w:sz w:val="28"/>
          <w:szCs w:val="28"/>
          <w:highlight w:val="none"/>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highlight w:val="none"/>
          <w:u w:val="single"/>
        </w:rPr>
      </w:pPr>
      <w:r>
        <w:rPr>
          <w:rFonts w:hint="eastAsia" w:ascii="黑体" w:hAnsi="黑体" w:eastAsia="黑体"/>
          <w:b/>
          <w:sz w:val="28"/>
          <w:szCs w:val="28"/>
          <w:highlight w:val="none"/>
        </w:rPr>
        <w:t>协议编号：【</w:t>
      </w:r>
      <w:r>
        <w:rPr>
          <w:rFonts w:ascii="黑体" w:hAnsi="黑体" w:eastAsia="黑体"/>
          <w:b/>
          <w:sz w:val="28"/>
          <w:szCs w:val="28"/>
          <w:highlight w:val="none"/>
        </w:rPr>
        <w:t xml:space="preserve">                 </w:t>
      </w:r>
      <w:r>
        <w:rPr>
          <w:rFonts w:hint="eastAsia" w:ascii="黑体" w:hAnsi="黑体" w:eastAsia="黑体"/>
          <w:b/>
          <w:sz w:val="28"/>
          <w:szCs w:val="28"/>
          <w:highlight w:val="none"/>
        </w:rPr>
        <w:t>】</w:t>
      </w: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adjustRightInd w:val="0"/>
        <w:spacing w:line="360" w:lineRule="auto"/>
        <w:jc w:val="center"/>
        <w:outlineLvl w:val="0"/>
        <w:rPr>
          <w:rStyle w:val="8"/>
          <w:rFonts w:ascii="宋体" w:hAnsi="宋体"/>
          <w:sz w:val="28"/>
          <w:szCs w:val="28"/>
          <w:highlight w:val="none"/>
        </w:rPr>
      </w:pPr>
      <w:bookmarkStart w:id="0" w:name="_Toc123701383"/>
      <w:bookmarkStart w:id="1" w:name="_Toc123112263"/>
      <w:bookmarkStart w:id="2" w:name="_Toc139992301"/>
      <w:bookmarkStart w:id="3" w:name="_Toc123112224"/>
      <w:bookmarkStart w:id="4" w:name="_Toc139991726"/>
      <w:r>
        <w:rPr>
          <w:rStyle w:val="8"/>
          <w:rFonts w:hint="eastAsia" w:ascii="宋体" w:hAnsi="宋体"/>
          <w:sz w:val="28"/>
          <w:szCs w:val="28"/>
          <w:highlight w:val="none"/>
        </w:rPr>
        <w:t>理财产品管理人：</w:t>
      </w:r>
      <w:bookmarkEnd w:id="0"/>
      <w:bookmarkEnd w:id="1"/>
      <w:bookmarkEnd w:id="2"/>
      <w:bookmarkEnd w:id="3"/>
      <w:bookmarkEnd w:id="4"/>
      <w:r>
        <w:rPr>
          <w:rStyle w:val="8"/>
          <w:rFonts w:hint="eastAsia" w:ascii="宋体" w:hAnsi="宋体"/>
          <w:sz w:val="28"/>
          <w:szCs w:val="28"/>
          <w:highlight w:val="none"/>
        </w:rPr>
        <w:t>渤银理财有限责任公司</w:t>
      </w:r>
    </w:p>
    <w:p>
      <w:pPr>
        <w:adjustRightInd w:val="0"/>
        <w:spacing w:line="360" w:lineRule="auto"/>
        <w:jc w:val="center"/>
        <w:rPr>
          <w:rStyle w:val="8"/>
          <w:rFonts w:ascii="黑体" w:hAnsi="黑体" w:eastAsia="黑体" w:cs="宋体"/>
          <w:sz w:val="28"/>
          <w:szCs w:val="28"/>
          <w:highlight w:val="none"/>
        </w:rPr>
      </w:pPr>
      <w:bookmarkStart w:id="5" w:name="_Toc139991727"/>
      <w:bookmarkStart w:id="6" w:name="_Toc123112225"/>
      <w:bookmarkStart w:id="7" w:name="_Toc139992302"/>
      <w:bookmarkStart w:id="8" w:name="_Toc123701384"/>
      <w:bookmarkStart w:id="9" w:name="_Toc123112264"/>
    </w:p>
    <w:bookmarkEnd w:id="5"/>
    <w:bookmarkEnd w:id="6"/>
    <w:bookmarkEnd w:id="7"/>
    <w:bookmarkEnd w:id="8"/>
    <w:bookmarkEnd w:id="9"/>
    <w:p>
      <w:pPr>
        <w:adjustRightInd w:val="0"/>
        <w:spacing w:line="360" w:lineRule="auto"/>
        <w:jc w:val="center"/>
        <w:rPr>
          <w:rStyle w:val="8"/>
          <w:rFonts w:ascii="黑体" w:hAnsi="黑体" w:eastAsia="黑体" w:cs="宋体"/>
          <w:sz w:val="28"/>
          <w:szCs w:val="28"/>
          <w:highlight w:val="none"/>
        </w:rPr>
      </w:pPr>
    </w:p>
    <w:p>
      <w:pPr>
        <w:adjustRightInd w:val="0"/>
        <w:spacing w:line="360" w:lineRule="auto"/>
        <w:jc w:val="center"/>
        <w:outlineLvl w:val="0"/>
        <w:rPr>
          <w:rStyle w:val="8"/>
          <w:rFonts w:ascii="宋体" w:hAnsi="宋体"/>
          <w:sz w:val="28"/>
          <w:szCs w:val="28"/>
          <w:highlight w:val="none"/>
        </w:rPr>
      </w:pPr>
      <w:r>
        <w:rPr>
          <w:rStyle w:val="8"/>
          <w:rFonts w:hint="eastAsia" w:ascii="宋体" w:hAnsi="宋体"/>
          <w:sz w:val="28"/>
          <w:szCs w:val="28"/>
          <w:highlight w:val="none"/>
        </w:rPr>
        <w:t>日期</w:t>
      </w:r>
      <w:r>
        <w:rPr>
          <w:rStyle w:val="8"/>
          <w:rFonts w:ascii="宋体" w:hAnsi="宋体"/>
          <w:sz w:val="28"/>
          <w:szCs w:val="28"/>
          <w:highlight w:val="none"/>
        </w:rPr>
        <w:t>：</w:t>
      </w:r>
      <w:r>
        <w:rPr>
          <w:rStyle w:val="8"/>
          <w:rFonts w:hint="eastAsia" w:ascii="宋体" w:hAnsi="宋体"/>
          <w:sz w:val="28"/>
          <w:szCs w:val="28"/>
          <w:highlight w:val="none"/>
        </w:rPr>
        <w:t>【20  】年【 】月</w:t>
      </w:r>
    </w:p>
    <w:p>
      <w:pPr>
        <w:tabs>
          <w:tab w:val="left" w:pos="8070"/>
          <w:tab w:val="right" w:pos="8306"/>
        </w:tabs>
        <w:autoSpaceDE w:val="0"/>
        <w:autoSpaceDN w:val="0"/>
        <w:adjustRightInd w:val="0"/>
        <w:snapToGrid w:val="0"/>
        <w:spacing w:before="156" w:beforeLines="50" w:line="360" w:lineRule="auto"/>
        <w:jc w:val="center"/>
        <w:rPr>
          <w:bCs/>
          <w:sz w:val="32"/>
          <w:highlight w:val="none"/>
        </w:rPr>
      </w:pPr>
      <w:r>
        <w:rPr>
          <w:bCs/>
          <w:sz w:val="32"/>
          <w:highlight w:val="none"/>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highlight w:val="none"/>
              </w:rPr>
            </w:pPr>
            <w:r>
              <w:rPr>
                <w:rFonts w:hint="eastAsia" w:ascii="黑体" w:hAnsi="黑体" w:eastAsia="黑体"/>
                <w:b/>
                <w:kern w:val="0"/>
                <w:sz w:val="32"/>
                <w:szCs w:val="32"/>
                <w:highlight w:val="none"/>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理财产品过往业绩不代表其未来表现，不等于理财产品实际收益，投资</w:t>
            </w:r>
            <w:r>
              <w:rPr>
                <w:rFonts w:ascii="黑体" w:hAnsi="黑体" w:eastAsia="黑体"/>
                <w:bCs/>
                <w:sz w:val="18"/>
                <w:szCs w:val="18"/>
                <w:highlight w:val="none"/>
              </w:rPr>
              <w:t>须</w:t>
            </w:r>
            <w:r>
              <w:rPr>
                <w:rFonts w:hint="eastAsia" w:ascii="黑体" w:hAnsi="黑体" w:eastAsia="黑体"/>
                <w:bCs/>
                <w:sz w:val="18"/>
                <w:szCs w:val="18"/>
                <w:highlight w:val="none"/>
              </w:rPr>
              <w:t>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ind w:left="271" w:hanging="271"/>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本产品的业绩比较基准或超额业绩</w:t>
            </w:r>
            <w:r>
              <w:rPr>
                <w:rFonts w:ascii="黑体" w:hAnsi="黑体" w:eastAsia="黑体"/>
                <w:bCs/>
                <w:sz w:val="18"/>
                <w:szCs w:val="18"/>
                <w:highlight w:val="none"/>
              </w:rPr>
              <w:t>报酬计提基准</w:t>
            </w:r>
            <w:r>
              <w:rPr>
                <w:rFonts w:hint="eastAsia" w:ascii="黑体" w:hAnsi="黑体" w:eastAsia="黑体"/>
                <w:bCs/>
                <w:sz w:val="18"/>
                <w:szCs w:val="18"/>
                <w:highlight w:val="none"/>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1、销售文件的组成</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2、销售文件的编制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根据《理财公司理财产品销售管理暂行办法》（</w:t>
            </w:r>
            <w:r>
              <w:rPr>
                <w:rFonts w:ascii="黑体" w:hAnsi="黑体" w:eastAsia="黑体"/>
                <w:bCs/>
                <w:sz w:val="18"/>
                <w:szCs w:val="18"/>
                <w:highlight w:val="none"/>
              </w:rPr>
              <w:t>银保监会令</w:t>
            </w:r>
            <w:r>
              <w:rPr>
                <w:rFonts w:hint="eastAsia" w:ascii="黑体" w:hAnsi="黑体" w:eastAsia="黑体"/>
                <w:bCs/>
                <w:sz w:val="18"/>
                <w:szCs w:val="18"/>
                <w:highlight w:val="none"/>
              </w:rPr>
              <w:t>2</w:t>
            </w:r>
            <w:r>
              <w:rPr>
                <w:rFonts w:ascii="黑体" w:hAnsi="黑体" w:eastAsia="黑体"/>
                <w:bCs/>
                <w:sz w:val="18"/>
                <w:szCs w:val="18"/>
                <w:highlight w:val="none"/>
              </w:rPr>
              <w:t>021年第</w:t>
            </w:r>
            <w:r>
              <w:rPr>
                <w:rFonts w:hint="eastAsia" w:ascii="黑体" w:hAnsi="黑体" w:eastAsia="黑体"/>
                <w:bCs/>
                <w:sz w:val="18"/>
                <w:szCs w:val="18"/>
                <w:highlight w:val="none"/>
              </w:rPr>
              <w:t>4号）第2</w:t>
            </w:r>
            <w:r>
              <w:rPr>
                <w:rFonts w:ascii="黑体" w:hAnsi="黑体" w:eastAsia="黑体"/>
                <w:bCs/>
                <w:sz w:val="18"/>
                <w:szCs w:val="18"/>
                <w:highlight w:val="none"/>
              </w:rPr>
              <w:t>9条规定</w:t>
            </w:r>
            <w:r>
              <w:rPr>
                <w:rFonts w:hint="eastAsia" w:ascii="黑体" w:hAnsi="黑体" w:eastAsia="黑体"/>
                <w:bCs/>
                <w:sz w:val="18"/>
                <w:szCs w:val="18"/>
                <w:highlight w:val="none"/>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关于投资者适当性的提示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关于投资者信息的提示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投资者在此同意并授权，产品管理人可根据法律法规、监管要求和合同约定，为投资者尽职调查、理财产品登记、反洗钱</w:t>
            </w:r>
            <w:r>
              <w:rPr>
                <w:rFonts w:ascii="黑体" w:hAnsi="黑体" w:eastAsia="黑体"/>
                <w:bCs/>
                <w:sz w:val="18"/>
                <w:szCs w:val="18"/>
                <w:highlight w:val="none"/>
              </w:rPr>
              <w:t>工作</w:t>
            </w:r>
            <w:r>
              <w:rPr>
                <w:rFonts w:hint="eastAsia" w:ascii="黑体" w:hAnsi="黑体" w:eastAsia="黑体"/>
                <w:bCs/>
                <w:sz w:val="18"/>
                <w:szCs w:val="18"/>
                <w:highlight w:val="none"/>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spacing w:line="360" w:lineRule="auto"/>
              <w:rPr>
                <w:rFonts w:ascii="黑体" w:hAnsi="黑体" w:eastAsia="黑体"/>
                <w:bCs/>
                <w:kern w:val="0"/>
                <w:sz w:val="18"/>
                <w:szCs w:val="18"/>
                <w:highlight w:val="none"/>
              </w:rPr>
            </w:pPr>
            <w:r>
              <w:rPr>
                <w:rFonts w:hint="eastAsia" w:ascii="黑体" w:hAnsi="黑体" w:eastAsia="黑体"/>
                <w:bCs/>
                <w:kern w:val="0"/>
                <w:sz w:val="18"/>
                <w:szCs w:val="18"/>
                <w:highlight w:val="none"/>
              </w:rPr>
              <w:t>★</w:t>
            </w:r>
            <w:r>
              <w:rPr>
                <w:rFonts w:ascii="黑体" w:hAnsi="黑体" w:eastAsia="黑体"/>
                <w:bCs/>
                <w:kern w:val="0"/>
                <w:sz w:val="18"/>
                <w:szCs w:val="18"/>
                <w:highlight w:val="none"/>
              </w:rPr>
              <w:t xml:space="preserve"> </w:t>
            </w:r>
            <w:r>
              <w:rPr>
                <w:rFonts w:hint="eastAsia" w:ascii="黑体" w:hAnsi="黑体" w:eastAsia="黑体"/>
                <w:bCs/>
                <w:kern w:val="0"/>
                <w:sz w:val="18"/>
                <w:szCs w:val="18"/>
                <w:highlight w:val="none"/>
              </w:rPr>
              <w:t>关于理财产品信息披露的提示</w:t>
            </w:r>
          </w:p>
          <w:p>
            <w:pPr>
              <w:spacing w:line="360" w:lineRule="auto"/>
              <w:rPr>
                <w:rFonts w:ascii="黑体" w:hAnsi="黑体" w:eastAsia="黑体"/>
                <w:bCs/>
                <w:sz w:val="18"/>
                <w:szCs w:val="18"/>
                <w:highlight w:val="none"/>
              </w:rPr>
            </w:pPr>
            <w:r>
              <w:rPr>
                <w:rFonts w:hint="eastAsia" w:ascii="黑体" w:hAnsi="黑体" w:eastAsia="黑体"/>
                <w:bCs/>
                <w:kern w:val="0"/>
                <w:sz w:val="18"/>
                <w:szCs w:val="18"/>
                <w:highlight w:val="none"/>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关于理财产品咨询的提示</w:t>
            </w:r>
          </w:p>
          <w:p>
            <w:pPr>
              <w:tabs>
                <w:tab w:val="left" w:pos="8070"/>
                <w:tab w:val="right" w:pos="8306"/>
              </w:tabs>
              <w:autoSpaceDE w:val="0"/>
              <w:autoSpaceDN w:val="0"/>
              <w:adjustRightInd w:val="0"/>
              <w:snapToGrid w:val="0"/>
              <w:spacing w:before="156" w:beforeLines="50" w:line="360" w:lineRule="auto"/>
              <w:rPr>
                <w:bCs/>
                <w:sz w:val="32"/>
                <w:highlight w:val="none"/>
              </w:rPr>
            </w:pPr>
            <w:r>
              <w:rPr>
                <w:rFonts w:hint="eastAsia" w:ascii="黑体" w:hAnsi="黑体" w:eastAsia="黑体"/>
                <w:bCs/>
                <w:kern w:val="0"/>
                <w:sz w:val="18"/>
                <w:szCs w:val="18"/>
                <w:highlight w:val="none"/>
              </w:rPr>
              <w:t>投资者对本理财产品及销售文件的内容有任何疑问，</w:t>
            </w:r>
            <w:r>
              <w:rPr>
                <w:rFonts w:hint="eastAsia" w:ascii="黑体" w:hAnsi="黑体" w:eastAsia="黑体"/>
                <w:color w:val="000000"/>
                <w:kern w:val="0"/>
                <w:sz w:val="18"/>
                <w:szCs w:val="18"/>
                <w:highlight w:val="none"/>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highlight w:val="none"/>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bookmarkStart w:id="10" w:name="_Toc123112266"/>
      <w:bookmarkStart w:id="11" w:name="_Toc139991729"/>
      <w:bookmarkStart w:id="12" w:name="_Toc123701386"/>
      <w:bookmarkStart w:id="13" w:name="_Toc123112227"/>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p>
      <w:pPr>
        <w:widowControl/>
        <w:jc w:val="left"/>
        <w:rPr>
          <w:rFonts w:ascii="宋体" w:hAnsi="宋体" w:cs="仿宋_GB2312"/>
          <w:b/>
          <w:kern w:val="0"/>
          <w:sz w:val="18"/>
          <w:szCs w:val="18"/>
          <w:highlight w:val="none"/>
        </w:rPr>
      </w:pPr>
      <w:r>
        <w:rPr>
          <w:rFonts w:ascii="宋体" w:hAnsi="宋体" w:cs="仿宋_GB2312"/>
          <w:b/>
          <w:kern w:val="0"/>
          <w:sz w:val="18"/>
          <w:szCs w:val="18"/>
          <w:highlight w:val="none"/>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highlight w:val="none"/>
              </w:rPr>
            </w:pPr>
            <w:r>
              <w:rPr>
                <w:rFonts w:hint="eastAsia" w:ascii="宋体" w:hAnsi="宋体"/>
                <w:b/>
                <w:bCs/>
                <w:sz w:val="28"/>
                <w:szCs w:val="28"/>
                <w:highlight w:val="none"/>
              </w:rPr>
              <w:t>信息栏</w:t>
            </w:r>
          </w:p>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投资者信息</w:t>
            </w:r>
          </w:p>
        </w:tc>
        <w:tc>
          <w:tcPr>
            <w:tcW w:w="708"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个人投资者适用</w:t>
            </w: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姓名</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w:t>
            </w:r>
            <w:r>
              <w:rPr>
                <w:rFonts w:ascii="宋体" w:hAnsi="宋体"/>
                <w:b/>
                <w:bCs/>
                <w:sz w:val="18"/>
                <w:szCs w:val="18"/>
                <w:highlight w:val="none"/>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机构名称</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hint="eastAsia" w:ascii="宋体" w:hAnsi="宋体"/>
                <w:bCs/>
                <w:sz w:val="18"/>
                <w:szCs w:val="18"/>
                <w:highlight w:val="none"/>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highlight w:val="none"/>
              </w:rPr>
            </w:pPr>
            <w:r>
              <w:rPr>
                <w:rFonts w:hint="eastAsia" w:ascii="宋体" w:hAnsi="宋体"/>
                <w:bCs/>
                <w:sz w:val="18"/>
                <w:szCs w:val="18"/>
                <w:highlight w:val="none"/>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highlight w:val="none"/>
              </w:rPr>
              <w:t>，公司注册资本为</w:t>
            </w:r>
            <w:r>
              <w:rPr>
                <w:rFonts w:hint="eastAsia" w:ascii="宋体" w:hAnsi="宋体"/>
                <w:bCs/>
                <w:sz w:val="18"/>
                <w:szCs w:val="18"/>
                <w:highlight w:val="none"/>
              </w:rPr>
              <w:t>2</w:t>
            </w:r>
            <w:r>
              <w:rPr>
                <w:rFonts w:ascii="宋体" w:hAnsi="宋体"/>
                <w:bCs/>
                <w:sz w:val="18"/>
                <w:szCs w:val="18"/>
                <w:highlight w:val="none"/>
              </w:rPr>
              <w:t>0亿元人民币，全部由</w:t>
            </w:r>
            <w:r>
              <w:rPr>
                <w:rFonts w:hint="eastAsia" w:ascii="宋体" w:hAnsi="宋体"/>
                <w:bCs/>
                <w:sz w:val="18"/>
                <w:szCs w:val="18"/>
                <w:highlight w:val="none"/>
              </w:rPr>
              <w:t>渤海</w:t>
            </w:r>
            <w:r>
              <w:rPr>
                <w:rFonts w:ascii="宋体" w:hAnsi="宋体"/>
                <w:bCs/>
                <w:sz w:val="18"/>
                <w:szCs w:val="18"/>
                <w:highlight w:val="none"/>
              </w:rPr>
              <w:t>银行股份有限公司以货币资金认</w:t>
            </w:r>
            <w:r>
              <w:rPr>
                <w:rFonts w:hint="eastAsia" w:ascii="宋体" w:hAnsi="宋体"/>
                <w:bCs/>
                <w:sz w:val="18"/>
                <w:szCs w:val="18"/>
                <w:highlight w:val="none"/>
              </w:rPr>
              <w:t>缴</w:t>
            </w:r>
            <w:r>
              <w:rPr>
                <w:rFonts w:ascii="宋体" w:hAnsi="宋体"/>
                <w:bCs/>
                <w:sz w:val="18"/>
                <w:szCs w:val="18"/>
                <w:highlight w:val="none"/>
              </w:rPr>
              <w:t>并一次性足额</w:t>
            </w:r>
            <w:r>
              <w:rPr>
                <w:rFonts w:hint="eastAsia" w:ascii="宋体" w:hAnsi="宋体"/>
                <w:bCs/>
                <w:sz w:val="18"/>
                <w:szCs w:val="18"/>
                <w:highlight w:val="none"/>
              </w:rPr>
              <w:t>实缴</w:t>
            </w:r>
            <w:r>
              <w:rPr>
                <w:rFonts w:ascii="宋体" w:hAnsi="宋体"/>
                <w:bCs/>
                <w:sz w:val="18"/>
                <w:szCs w:val="18"/>
                <w:highlight w:val="none"/>
              </w:rPr>
              <w:t>。公司注册地为</w:t>
            </w:r>
            <w:r>
              <w:rPr>
                <w:rFonts w:hint="eastAsia" w:ascii="宋体" w:hAnsi="宋体"/>
                <w:bCs/>
                <w:sz w:val="18"/>
                <w:szCs w:val="18"/>
                <w:highlight w:val="none"/>
              </w:rPr>
              <w:t>天津市</w:t>
            </w:r>
            <w:r>
              <w:rPr>
                <w:rFonts w:ascii="宋体" w:hAnsi="宋体"/>
                <w:bCs/>
                <w:sz w:val="18"/>
                <w:szCs w:val="18"/>
                <w:highlight w:val="none"/>
              </w:rPr>
              <w:t>。公司主要</w:t>
            </w:r>
            <w:r>
              <w:rPr>
                <w:rFonts w:hint="eastAsia" w:ascii="宋体" w:hAnsi="宋体"/>
                <w:bCs/>
                <w:sz w:val="18"/>
                <w:szCs w:val="18"/>
                <w:highlight w:val="none"/>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理财产品信息</w:t>
            </w: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理财产品名称</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渤银理财财收有略系列固定收益类九个月封闭式理财产品2026年48号</w:t>
            </w:r>
            <w:r>
              <w:rPr>
                <w:rFonts w:hint="eastAsia" w:ascii="宋体" w:hAnsi="宋体"/>
                <w:bCs/>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★理财信息</w:t>
            </w:r>
            <w:r>
              <w:rPr>
                <w:rFonts w:hint="eastAsia" w:ascii="宋体" w:hAnsi="宋体"/>
                <w:b/>
                <w:bCs/>
                <w:sz w:val="18"/>
                <w:szCs w:val="18"/>
                <w:highlight w:val="none"/>
              </w:rPr>
              <w:t>登记系统编码</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Z7008426000584</w:t>
            </w:r>
            <w:r>
              <w:rPr>
                <w:rFonts w:hint="eastAsia" w:ascii="宋体" w:hAnsi="宋体"/>
                <w:bCs/>
                <w:sz w:val="18"/>
                <w:szCs w:val="18"/>
                <w:highlight w:val="none"/>
              </w:rPr>
              <w:t>】注：投资者可依据理财信息登记系统编码在中国理财网查询产品信息</w:t>
            </w:r>
            <w:r>
              <w:rPr>
                <w:highlight w:val="none"/>
              </w:rPr>
              <w:fldChar w:fldCharType="begin"/>
            </w:r>
            <w:r>
              <w:rPr>
                <w:highlight w:val="none"/>
              </w:rPr>
              <w:instrText xml:space="preserve"> HYPERLINK "http://www.chinawealth.com.cn" </w:instrText>
            </w:r>
            <w:r>
              <w:rPr>
                <w:highlight w:val="none"/>
              </w:rPr>
              <w:fldChar w:fldCharType="separate"/>
            </w:r>
            <w:r>
              <w:rPr>
                <w:rFonts w:ascii="宋体" w:hAnsi="宋体"/>
                <w:bCs/>
                <w:sz w:val="18"/>
                <w:szCs w:val="18"/>
                <w:highlight w:val="none"/>
              </w:rPr>
              <w:t>www.chinawealth.com.cn</w:t>
            </w:r>
            <w:r>
              <w:rPr>
                <w:rFonts w:ascii="宋体" w:hAnsi="宋体"/>
                <w:bCs/>
                <w:sz w:val="18"/>
                <w:szCs w:val="18"/>
                <w:highlight w:val="none"/>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产品</w:t>
            </w:r>
            <w:r>
              <w:rPr>
                <w:rFonts w:ascii="宋体" w:hAnsi="宋体"/>
                <w:b/>
                <w:bCs/>
                <w:sz w:val="18"/>
                <w:szCs w:val="18"/>
                <w:highlight w:val="none"/>
              </w:rPr>
              <w:t>代码</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ascii="宋体" w:hAnsi="宋体"/>
                <w:bCs/>
                <w:color w:val="000000"/>
                <w:sz w:val="18"/>
                <w:szCs w:val="18"/>
                <w:highlight w:val="none"/>
              </w:rPr>
              <w:t>【</w:t>
            </w:r>
            <w:r>
              <w:rPr>
                <w:rFonts w:hint="eastAsia" w:ascii="宋体" w:hAnsi="宋体"/>
                <w:bCs/>
                <w:color w:val="000000"/>
                <w:sz w:val="18"/>
                <w:szCs w:val="18"/>
                <w:highlight w:val="none"/>
                <w:lang w:val="en-US" w:eastAsia="zh-CN"/>
              </w:rPr>
              <w:t>CSFB9M26048</w:t>
            </w:r>
            <w:r>
              <w:rPr>
                <w:rFonts w:ascii="宋体" w:hAnsi="宋体"/>
                <w:bCs/>
                <w:color w:val="000000"/>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highlight w:val="none"/>
              </w:rPr>
            </w:pPr>
            <w:r>
              <w:rPr>
                <w:rFonts w:hint="eastAsia" w:ascii="宋体" w:hAnsi="宋体"/>
                <w:b/>
                <w:szCs w:val="18"/>
                <w:highlight w:val="none"/>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highlight w:val="none"/>
              </w:rPr>
            </w:pPr>
            <w:r>
              <w:rPr>
                <w:rFonts w:hint="eastAsia" w:ascii="宋体" w:hAnsi="宋体"/>
                <w:szCs w:val="18"/>
                <w:highlight w:val="none"/>
              </w:rPr>
              <w:t>投资者</w:t>
            </w:r>
            <w:r>
              <w:rPr>
                <w:rFonts w:ascii="宋体" w:hAnsi="宋体"/>
                <w:szCs w:val="18"/>
                <w:highlight w:val="none"/>
              </w:rPr>
              <w:t>在</w:t>
            </w:r>
            <w:r>
              <w:rPr>
                <w:rFonts w:hint="eastAsia" w:ascii="宋体" w:hAnsi="宋体"/>
                <w:szCs w:val="18"/>
                <w:highlight w:val="none"/>
              </w:rPr>
              <w:t>销售服务机构</w:t>
            </w:r>
            <w:r>
              <w:rPr>
                <w:rFonts w:ascii="宋体" w:hAnsi="宋体"/>
                <w:szCs w:val="18"/>
                <w:highlight w:val="none"/>
              </w:rPr>
              <w:t>开立</w:t>
            </w:r>
            <w:r>
              <w:rPr>
                <w:rFonts w:hint="eastAsia" w:ascii="宋体" w:hAnsi="宋体"/>
                <w:szCs w:val="18"/>
                <w:highlight w:val="none"/>
              </w:rPr>
              <w:t>/留存的理财卡结算账户</w:t>
            </w:r>
            <w:r>
              <w:rPr>
                <w:rFonts w:hint="eastAsia" w:ascii="宋体" w:hAnsi="宋体"/>
                <w:spacing w:val="-6"/>
                <w:szCs w:val="18"/>
                <w:highlight w:val="none"/>
              </w:rPr>
              <w:t>或存折结算账户（</w:t>
            </w:r>
            <w:r>
              <w:rPr>
                <w:rFonts w:hint="eastAsia" w:ascii="宋体" w:hAnsi="宋体"/>
                <w:szCs w:val="18"/>
                <w:highlight w:val="none"/>
              </w:rPr>
              <w:t>以下简称“指定账户”），</w:t>
            </w:r>
            <w:r>
              <w:rPr>
                <w:rFonts w:ascii="宋体" w:hAnsi="宋体"/>
                <w:szCs w:val="18"/>
                <w:highlight w:val="none"/>
              </w:rPr>
              <w:t>用于</w:t>
            </w:r>
            <w:r>
              <w:rPr>
                <w:rFonts w:hint="eastAsia" w:ascii="宋体" w:hAnsi="宋体"/>
                <w:szCs w:val="18"/>
                <w:highlight w:val="none"/>
              </w:rPr>
              <w:t>本产品的</w:t>
            </w:r>
            <w:r>
              <w:rPr>
                <w:rFonts w:ascii="宋体" w:hAnsi="宋体"/>
                <w:szCs w:val="18"/>
                <w:highlight w:val="none"/>
              </w:rPr>
              <w:t>资金划转及</w:t>
            </w:r>
            <w:r>
              <w:rPr>
                <w:rFonts w:hint="eastAsia" w:ascii="宋体" w:hAnsi="宋体"/>
                <w:szCs w:val="18"/>
                <w:highlight w:val="none"/>
              </w:rPr>
              <w:t>产品分配，账号：</w:t>
            </w:r>
            <w:r>
              <w:rPr>
                <w:rFonts w:ascii="宋体" w:hAnsi="宋体"/>
                <w:szCs w:val="18"/>
                <w:highlight w:val="none"/>
                <w:u w:val="single"/>
              </w:rPr>
              <w:t xml:space="preserve">　                     </w:t>
            </w:r>
            <w:r>
              <w:rPr>
                <w:rFonts w:hint="eastAsia" w:ascii="宋体" w:hAnsi="宋体"/>
                <w:szCs w:val="18"/>
                <w:highlight w:val="none"/>
              </w:rPr>
              <w:t>。</w:t>
            </w:r>
          </w:p>
        </w:tc>
      </w:tr>
    </w:tbl>
    <w:p>
      <w:pPr>
        <w:widowControl/>
        <w:spacing w:line="360" w:lineRule="auto"/>
        <w:jc w:val="left"/>
        <w:rPr>
          <w:bCs/>
          <w:sz w:val="32"/>
          <w:highlight w:val="none"/>
        </w:rPr>
      </w:pPr>
      <w:r>
        <w:rPr>
          <w:rFonts w:hint="eastAsia"/>
          <w:bCs/>
          <w:sz w:val="32"/>
          <w:highlight w:val="none"/>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10"/>
        <w:snapToGrid w:val="0"/>
        <w:spacing w:line="480" w:lineRule="auto"/>
        <w:ind w:firstLine="361" w:firstLineChars="200"/>
        <w:rPr>
          <w:rFonts w:hAnsi="宋体"/>
          <w:b/>
          <w:color w:val="auto"/>
          <w:sz w:val="18"/>
          <w:szCs w:val="18"/>
          <w:highlight w:val="none"/>
        </w:rPr>
      </w:pPr>
      <w:r>
        <w:rPr>
          <w:rFonts w:hint="eastAsia" w:hAnsi="宋体"/>
          <w:b/>
          <w:color w:val="auto"/>
          <w:sz w:val="18"/>
          <w:szCs w:val="18"/>
          <w:highlight w:val="none"/>
        </w:rPr>
        <w:t>尊敬的投资者：</w:t>
      </w:r>
    </w:p>
    <w:p>
      <w:pPr>
        <w:pStyle w:val="10"/>
        <w:snapToGrid w:val="0"/>
        <w:spacing w:before="312" w:beforeLines="100"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您（作为投资者）为自愿购买本</w:t>
      </w:r>
      <w:r>
        <w:rPr>
          <w:rFonts w:hAnsi="宋体"/>
          <w:bCs/>
          <w:color w:val="auto"/>
          <w:sz w:val="18"/>
          <w:szCs w:val="18"/>
          <w:highlight w:val="none"/>
        </w:rPr>
        <w:t>理财产品管理人</w:t>
      </w:r>
      <w:r>
        <w:rPr>
          <w:rFonts w:hint="eastAsia" w:hAnsi="宋体"/>
          <w:bCs/>
          <w:color w:val="auto"/>
          <w:sz w:val="18"/>
          <w:szCs w:val="18"/>
          <w:highlight w:val="none"/>
        </w:rPr>
        <w:t>管理</w:t>
      </w:r>
      <w:r>
        <w:rPr>
          <w:rFonts w:hAnsi="宋体"/>
          <w:bCs/>
          <w:color w:val="auto"/>
          <w:sz w:val="18"/>
          <w:szCs w:val="18"/>
          <w:highlight w:val="none"/>
        </w:rPr>
        <w:t>的</w:t>
      </w:r>
      <w:r>
        <w:rPr>
          <w:rFonts w:hint="eastAsia" w:hAnsi="宋体"/>
          <w:bCs/>
          <w:color w:val="auto"/>
          <w:sz w:val="18"/>
          <w:szCs w:val="18"/>
          <w:highlight w:val="none"/>
        </w:rPr>
        <w:t>理财产品</w:t>
      </w:r>
      <w:r>
        <w:rPr>
          <w:rFonts w:hAnsi="宋体"/>
          <w:bCs/>
          <w:color w:val="auto"/>
          <w:sz w:val="18"/>
          <w:szCs w:val="18"/>
          <w:highlight w:val="none"/>
        </w:rPr>
        <w:t>，</w:t>
      </w:r>
      <w:r>
        <w:rPr>
          <w:rFonts w:hint="eastAsia" w:hAnsi="宋体"/>
          <w:bCs/>
          <w:color w:val="auto"/>
          <w:sz w:val="18"/>
          <w:szCs w:val="18"/>
          <w:highlight w:val="none"/>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highlight w:val="none"/>
        </w:rPr>
      </w:pPr>
      <w:bookmarkStart w:id="14" w:name="_Toc15517"/>
      <w:bookmarkStart w:id="15" w:name="_Toc32639"/>
      <w:bookmarkStart w:id="16" w:name="_Toc30935"/>
      <w:bookmarkStart w:id="17" w:name="_Toc23386"/>
      <w:bookmarkStart w:id="18" w:name="_Toc4867"/>
      <w:bookmarkStart w:id="19" w:name="_Toc29629"/>
      <w:bookmarkStart w:id="20" w:name="_Toc26897"/>
      <w:bookmarkStart w:id="21" w:name="_Toc123701389"/>
      <w:bookmarkStart w:id="22" w:name="_Toc4966"/>
      <w:bookmarkStart w:id="23" w:name="_Toc123112229"/>
      <w:bookmarkStart w:id="24" w:name="_Toc8727"/>
      <w:bookmarkStart w:id="25" w:name="_Toc123112268"/>
      <w:bookmarkStart w:id="26" w:name="_Toc6306"/>
      <w:bookmarkStart w:id="27" w:name="_Toc139991730"/>
      <w:bookmarkStart w:id="28" w:name="_Toc141703880"/>
      <w:bookmarkStart w:id="29" w:name="_Toc88482730"/>
      <w:bookmarkStart w:id="30" w:name="_Toc95897036"/>
      <w:bookmarkStart w:id="31" w:name="_Toc74065738"/>
      <w:bookmarkStart w:id="32" w:name="_Toc233456271"/>
      <w:r>
        <w:rPr>
          <w:rFonts w:hint="eastAsia" w:ascii="Times New Roman"/>
          <w:color w:val="auto"/>
          <w:sz w:val="30"/>
          <w:highlight w:val="none"/>
        </w:rPr>
        <w:t>第一条</w:t>
      </w:r>
      <w:r>
        <w:rPr>
          <w:rFonts w:ascii="Times New Roman"/>
          <w:color w:val="auto"/>
          <w:sz w:val="30"/>
          <w:highlight w:val="none"/>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58829399"/>
      <w:bookmarkStart w:id="34" w:name="_Toc6617"/>
      <w:bookmarkStart w:id="35" w:name="_Toc3224"/>
      <w:bookmarkStart w:id="36" w:name="_Toc21301"/>
      <w:bookmarkStart w:id="37" w:name="_Toc2465"/>
      <w:bookmarkStart w:id="38" w:name="_Toc13020"/>
      <w:bookmarkStart w:id="39" w:name="_Toc15067"/>
      <w:bookmarkStart w:id="40" w:name="_Toc24860"/>
      <w:bookmarkStart w:id="41" w:name="_Toc819"/>
      <w:bookmarkStart w:id="42" w:name="_Toc19592"/>
      <w:bookmarkStart w:id="43" w:name="_Toc22864"/>
      <w:r>
        <w:rPr>
          <w:rFonts w:hint="eastAsia" w:ascii="Times New Roman"/>
          <w:color w:val="auto"/>
          <w:sz w:val="30"/>
          <w:highlight w:val="none"/>
        </w:rPr>
        <w:t>前言</w:t>
      </w:r>
      <w:bookmarkEnd w:id="29"/>
      <w:bookmarkEnd w:id="30"/>
    </w:p>
    <w:p>
      <w:pPr>
        <w:pStyle w:val="10"/>
        <w:snapToGrid w:val="0"/>
        <w:spacing w:line="360" w:lineRule="auto"/>
        <w:ind w:firstLine="361" w:firstLineChars="200"/>
        <w:rPr>
          <w:rFonts w:hAnsi="宋体"/>
          <w:b/>
          <w:bCs/>
          <w:color w:val="auto"/>
          <w:sz w:val="18"/>
          <w:szCs w:val="18"/>
          <w:highlight w:val="none"/>
        </w:rPr>
      </w:pPr>
      <w:r>
        <w:rPr>
          <w:rFonts w:hint="eastAsia" w:hAnsi="宋体"/>
          <w:b/>
          <w:bCs/>
          <w:color w:val="auto"/>
          <w:sz w:val="18"/>
          <w:szCs w:val="18"/>
          <w:highlight w:val="none"/>
        </w:rPr>
        <w:t>（一）订立本投资协议书的目的、依据和原则</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1</w:t>
      </w:r>
      <w:r>
        <w:rPr>
          <w:rFonts w:hint="eastAsia" w:hAnsi="宋体"/>
          <w:bCs/>
          <w:color w:val="auto"/>
          <w:sz w:val="18"/>
          <w:szCs w:val="18"/>
          <w:highlight w:val="none"/>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2</w:t>
      </w:r>
      <w:r>
        <w:rPr>
          <w:rFonts w:hint="eastAsia" w:hAnsi="宋体"/>
          <w:bCs/>
          <w:color w:val="auto"/>
          <w:sz w:val="18"/>
          <w:szCs w:val="18"/>
          <w:highlight w:val="none"/>
        </w:rPr>
        <w:t>、订立本投资协议书的依据是《中华人民共和国民法典》等法律法规、《关于规范金融机构资产管理业务的指导意见》（银发</w:t>
      </w:r>
      <w:r>
        <w:rPr>
          <w:rFonts w:hAnsi="宋体"/>
          <w:bCs/>
          <w:color w:val="auto"/>
          <w:sz w:val="18"/>
          <w:szCs w:val="18"/>
          <w:highlight w:val="none"/>
        </w:rPr>
        <w:t>[2018]106</w:t>
      </w:r>
      <w:r>
        <w:rPr>
          <w:rFonts w:hint="eastAsia" w:hAnsi="宋体"/>
          <w:bCs/>
          <w:color w:val="auto"/>
          <w:sz w:val="18"/>
          <w:szCs w:val="18"/>
          <w:highlight w:val="none"/>
        </w:rPr>
        <w:t>号）、《商业银行理财业务监督管理办法》（银保监会令</w:t>
      </w:r>
      <w:r>
        <w:rPr>
          <w:rFonts w:hAnsi="宋体"/>
          <w:bCs/>
          <w:color w:val="auto"/>
          <w:sz w:val="18"/>
          <w:szCs w:val="18"/>
          <w:highlight w:val="none"/>
        </w:rPr>
        <w:t xml:space="preserve"> </w:t>
      </w:r>
      <w:r>
        <w:rPr>
          <w:rFonts w:hint="eastAsia" w:hAnsi="宋体"/>
          <w:bCs/>
          <w:color w:val="auto"/>
          <w:sz w:val="18"/>
          <w:szCs w:val="18"/>
          <w:highlight w:val="none"/>
        </w:rPr>
        <w:t>2018年第</w:t>
      </w:r>
      <w:r>
        <w:rPr>
          <w:rFonts w:hAnsi="宋体"/>
          <w:bCs/>
          <w:color w:val="auto"/>
          <w:sz w:val="18"/>
          <w:szCs w:val="18"/>
          <w:highlight w:val="none"/>
        </w:rPr>
        <w:t>6</w:t>
      </w:r>
      <w:r>
        <w:rPr>
          <w:rFonts w:hint="eastAsia" w:hAnsi="宋体"/>
          <w:bCs/>
          <w:color w:val="auto"/>
          <w:sz w:val="18"/>
          <w:szCs w:val="18"/>
          <w:highlight w:val="none"/>
        </w:rPr>
        <w:t>号）、</w:t>
      </w:r>
      <w:bookmarkStart w:id="44" w:name="_Toc59965743"/>
      <w:r>
        <w:rPr>
          <w:rFonts w:hint="eastAsia" w:hAnsi="宋体"/>
          <w:bCs/>
          <w:color w:val="auto"/>
          <w:sz w:val="18"/>
          <w:szCs w:val="18"/>
          <w:highlight w:val="none"/>
        </w:rPr>
        <w:t>《商业银行理财子公司管理办法》</w:t>
      </w:r>
      <w:bookmarkEnd w:id="44"/>
      <w:r>
        <w:rPr>
          <w:rFonts w:hint="eastAsia" w:hAnsi="宋体"/>
          <w:bCs/>
          <w:color w:val="auto"/>
          <w:sz w:val="18"/>
          <w:szCs w:val="18"/>
          <w:highlight w:val="none"/>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3</w:t>
      </w:r>
      <w:r>
        <w:rPr>
          <w:rFonts w:hint="eastAsia" w:hAnsi="宋体"/>
          <w:bCs/>
          <w:color w:val="auto"/>
          <w:sz w:val="18"/>
          <w:szCs w:val="18"/>
          <w:highlight w:val="none"/>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highlight w:val="none"/>
        </w:rPr>
      </w:pPr>
      <w:bookmarkStart w:id="45" w:name="_Toc88482731"/>
      <w:bookmarkStart w:id="46" w:name="_Toc95897037"/>
      <w:bookmarkStart w:id="47" w:name="_Toc74065739"/>
      <w:r>
        <w:rPr>
          <w:rFonts w:hint="eastAsia" w:ascii="Times New Roman"/>
          <w:color w:val="auto"/>
          <w:sz w:val="30"/>
          <w:highlight w:val="none"/>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highlight w:val="none"/>
        </w:rPr>
        <w:t>或由产品管理人通过</w:t>
      </w:r>
      <w:r>
        <w:rPr>
          <w:rFonts w:hint="eastAsia" w:hAnsi="宋体"/>
          <w:bCs/>
          <w:color w:val="auto"/>
          <w:sz w:val="18"/>
          <w:szCs w:val="18"/>
          <w:highlight w:val="none"/>
        </w:rPr>
        <w:t>销售服务机构查询、收集、传输、加工、保存和使用投资者及其授权办理业务人员、法定代表人、受益所有人</w:t>
      </w:r>
      <w:r>
        <w:rPr>
          <w:rFonts w:hint="eastAsia" w:hAnsi="宋体"/>
          <w:bCs/>
          <w:sz w:val="18"/>
          <w:szCs w:val="18"/>
          <w:highlight w:val="none"/>
        </w:rPr>
        <w:t>（应当与投资者向市场监督管理部门备案的相关信息保持一致）</w:t>
      </w:r>
      <w:r>
        <w:rPr>
          <w:rFonts w:hint="eastAsia" w:hAnsi="宋体"/>
          <w:bCs/>
          <w:color w:val="auto"/>
          <w:sz w:val="18"/>
          <w:szCs w:val="18"/>
          <w:highlight w:val="none"/>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highlight w:val="none"/>
        </w:rPr>
      </w:pPr>
      <w:bookmarkStart w:id="48" w:name="_Hlk183098717"/>
      <w:r>
        <w:rPr>
          <w:rFonts w:hint="eastAsia" w:hAnsi="宋体"/>
          <w:bCs/>
          <w:color w:val="auto"/>
          <w:sz w:val="18"/>
          <w:szCs w:val="18"/>
          <w:highlight w:val="none"/>
        </w:rPr>
        <w:t>投资者应当按照</w:t>
      </w:r>
      <w:bookmarkStart w:id="49" w:name="_Hlk183098889"/>
      <w:r>
        <w:rPr>
          <w:rFonts w:hint="eastAsia" w:hAnsi="宋体"/>
          <w:bCs/>
          <w:color w:val="auto"/>
          <w:sz w:val="18"/>
          <w:szCs w:val="18"/>
          <w:highlight w:val="none"/>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highlight w:val="none"/>
        </w:rPr>
        <w:t>等的规定，真实、准确、完整地向销售服务机构、产品管理人、产品托管人、监管机构提供其受益所有人相关信息，并投资者承诺其提供的相关信息应当与其向</w:t>
      </w:r>
      <w:r>
        <w:rPr>
          <w:rFonts w:hint="eastAsia" w:hAnsi="宋体"/>
          <w:bCs/>
          <w:sz w:val="18"/>
          <w:szCs w:val="18"/>
          <w:highlight w:val="none"/>
        </w:rPr>
        <w:t>市场监督管理部门备案的相关信息保持一致。</w:t>
      </w:r>
      <w:bookmarkEnd w:id="48"/>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highlight w:val="none"/>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highlight w:val="none"/>
        </w:rPr>
        <w:t>反恐怖融资、制裁及反洗钱特别预防措施名单</w:t>
      </w:r>
      <w:bookmarkEnd w:id="51"/>
      <w:r>
        <w:rPr>
          <w:rFonts w:hint="eastAsia" w:hAnsi="宋体"/>
          <w:bCs/>
          <w:color w:val="auto"/>
          <w:sz w:val="18"/>
          <w:szCs w:val="18"/>
          <w:highlight w:val="none"/>
        </w:rPr>
        <w:t>”）</w:t>
      </w:r>
      <w:bookmarkEnd w:id="50"/>
      <w:r>
        <w:rPr>
          <w:rFonts w:hint="eastAsia" w:hAnsi="宋体"/>
          <w:bCs/>
          <w:color w:val="auto"/>
          <w:sz w:val="18"/>
          <w:szCs w:val="18"/>
          <w:highlight w:val="none"/>
        </w:rPr>
        <w:t>。</w:t>
      </w:r>
    </w:p>
    <w:p>
      <w:pPr>
        <w:pStyle w:val="10"/>
        <w:snapToGrid w:val="0"/>
        <w:spacing w:line="360" w:lineRule="auto"/>
        <w:ind w:firstLine="361" w:firstLineChars="200"/>
        <w:rPr>
          <w:rFonts w:hAnsi="宋体"/>
          <w:b/>
          <w:color w:val="auto"/>
          <w:sz w:val="18"/>
          <w:szCs w:val="18"/>
          <w:highlight w:val="none"/>
        </w:rPr>
      </w:pPr>
      <w:r>
        <w:rPr>
          <w:rFonts w:hint="eastAsia" w:hAnsi="宋体"/>
          <w:b/>
          <w:color w:val="auto"/>
          <w:sz w:val="18"/>
          <w:szCs w:val="18"/>
          <w:highlight w:val="none"/>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highlight w:val="none"/>
        </w:rPr>
        <w:t>并</w:t>
      </w:r>
      <w:bookmarkStart w:id="53" w:name="_Hlk183096763"/>
      <w:r>
        <w:rPr>
          <w:rFonts w:hint="eastAsia" w:hAnsi="宋体"/>
          <w:b/>
          <w:color w:val="auto"/>
          <w:sz w:val="18"/>
          <w:szCs w:val="18"/>
          <w:highlight w:val="none"/>
        </w:rPr>
        <w:t>根据风险严重程度</w:t>
      </w:r>
      <w:bookmarkEnd w:id="52"/>
      <w:bookmarkEnd w:id="53"/>
      <w:r>
        <w:rPr>
          <w:rFonts w:hint="eastAsia" w:hAnsi="宋体"/>
          <w:b/>
          <w:color w:val="auto"/>
          <w:sz w:val="18"/>
          <w:szCs w:val="18"/>
          <w:highlight w:val="none"/>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7.</w:t>
      </w:r>
      <w:bookmarkStart w:id="54" w:name="_Hlk183096281"/>
      <w:r>
        <w:rPr>
          <w:rFonts w:hint="eastAsia" w:hAnsi="宋体"/>
          <w:bCs/>
          <w:color w:val="auto"/>
          <w:sz w:val="18"/>
          <w:szCs w:val="18"/>
          <w:highlight w:val="none"/>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highlight w:val="none"/>
        </w:rPr>
      </w:pPr>
      <w:r>
        <w:rPr>
          <w:rFonts w:hint="eastAsia" w:ascii="宋体" w:hAnsi="宋体"/>
          <w:b/>
          <w:sz w:val="18"/>
          <w:szCs w:val="18"/>
          <w:highlight w:val="none"/>
        </w:rPr>
        <w:t>（二）产品管理人权利与义务</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3.产品管理人应按照约定披露产品相关信息。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highlight w:val="none"/>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黑体" w:hAnsi="黑体" w:eastAsia="黑体"/>
          <w:sz w:val="18"/>
          <w:szCs w:val="18"/>
          <w:highlight w:val="none"/>
        </w:rPr>
        <w:t>5.</w:t>
      </w:r>
      <w:r>
        <w:rPr>
          <w:rFonts w:hint="eastAsia" w:ascii="黑体" w:hAnsi="黑体" w:eastAsia="黑体"/>
          <w:sz w:val="18"/>
          <w:szCs w:val="18"/>
          <w:highlight w:val="none"/>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highlight w:val="none"/>
        </w:rPr>
      </w:pPr>
      <w:r>
        <w:rPr>
          <w:rFonts w:ascii="宋体" w:hAnsi="宋体"/>
          <w:sz w:val="18"/>
          <w:szCs w:val="18"/>
          <w:highlight w:val="none"/>
        </w:rPr>
        <w:t>8.</w:t>
      </w:r>
      <w:r>
        <w:rPr>
          <w:rFonts w:hint="eastAsia" w:ascii="黑体" w:hAnsi="黑体" w:eastAsia="黑体"/>
          <w:sz w:val="18"/>
          <w:szCs w:val="18"/>
          <w:highlight w:val="none"/>
        </w:rPr>
        <w:t>★</w:t>
      </w:r>
      <w:r>
        <w:rPr>
          <w:rFonts w:hint="eastAsia" w:ascii="宋体" w:hAnsi="宋体"/>
          <w:sz w:val="18"/>
          <w:szCs w:val="18"/>
          <w:highlight w:val="none"/>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highlight w:val="none"/>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宋体" w:hAnsi="宋体"/>
          <w:sz w:val="18"/>
          <w:szCs w:val="18"/>
          <w:highlight w:val="none"/>
        </w:rPr>
        <w:t>如产品管理人或销售服务机构发现或有合理理由怀疑投资者或其资金存在洗钱、恐怖融资、逃税等嫌疑</w:t>
      </w:r>
      <w:bookmarkStart w:id="55" w:name="_Hlk183099250"/>
      <w:r>
        <w:rPr>
          <w:rFonts w:hint="eastAsia" w:ascii="宋体" w:hAnsi="宋体"/>
          <w:sz w:val="18"/>
          <w:szCs w:val="18"/>
          <w:highlight w:val="none"/>
        </w:rPr>
        <w:t>或涉及反恐怖融资、制裁及反洗钱特别预防措施名单的</w:t>
      </w:r>
      <w:bookmarkEnd w:id="55"/>
      <w:r>
        <w:rPr>
          <w:rFonts w:hint="eastAsia" w:ascii="宋体" w:hAnsi="宋体"/>
          <w:sz w:val="18"/>
          <w:szCs w:val="18"/>
          <w:highlight w:val="none"/>
        </w:rPr>
        <w:t>,</w:t>
      </w:r>
      <w:r>
        <w:rPr>
          <w:rFonts w:hint="eastAsia" w:ascii="黑体" w:hAnsi="黑体" w:eastAsia="黑体"/>
          <w:sz w:val="18"/>
          <w:szCs w:val="18"/>
          <w:highlight w:val="none"/>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9.</w:t>
      </w:r>
      <w:r>
        <w:rPr>
          <w:rFonts w:hint="eastAsia" w:ascii="宋体" w:hAnsi="宋体"/>
          <w:sz w:val="18"/>
          <w:szCs w:val="18"/>
          <w:highlight w:val="none"/>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10.</w:t>
      </w:r>
      <w:r>
        <w:rPr>
          <w:rFonts w:hint="eastAsia" w:ascii="黑体" w:hAnsi="黑体" w:eastAsia="黑体"/>
          <w:sz w:val="18"/>
          <w:szCs w:val="18"/>
          <w:highlight w:val="none"/>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highlight w:val="none"/>
        </w:rPr>
        <w:t>或</w:t>
      </w:r>
      <w:r>
        <w:rPr>
          <w:rFonts w:hint="eastAsia" w:ascii="黑体" w:hAnsi="黑体" w:eastAsia="黑体"/>
          <w:sz w:val="18"/>
          <w:szCs w:val="18"/>
          <w:highlight w:val="none"/>
        </w:rPr>
        <w:t>产品托管人的，产品管理人应履行现行法律法规和监管规定所要求的必要程序。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11.</w:t>
      </w:r>
      <w:r>
        <w:rPr>
          <w:rFonts w:hint="eastAsia" w:ascii="宋体" w:hAnsi="宋体"/>
          <w:sz w:val="18"/>
          <w:szCs w:val="18"/>
          <w:highlight w:val="none"/>
        </w:rPr>
        <w:t>产品管理人</w:t>
      </w:r>
      <w:r>
        <w:rPr>
          <w:rFonts w:ascii="宋体" w:hAnsi="宋体"/>
          <w:sz w:val="18"/>
          <w:szCs w:val="18"/>
          <w:highlight w:val="none"/>
        </w:rPr>
        <w:t>负责维护理财产品运作相关的自有</w:t>
      </w:r>
      <w:r>
        <w:rPr>
          <w:rFonts w:hint="eastAsia" w:ascii="宋体" w:hAnsi="宋体" w:cs="仿宋_GB2312"/>
          <w:kern w:val="0"/>
          <w:sz w:val="18"/>
          <w:szCs w:val="18"/>
          <w:highlight w:val="none"/>
        </w:rPr>
        <w:t>业务系统和技术设施</w:t>
      </w:r>
      <w:r>
        <w:rPr>
          <w:rFonts w:ascii="宋体" w:hAnsi="宋体"/>
          <w:sz w:val="18"/>
          <w:szCs w:val="18"/>
          <w:highlight w:val="none"/>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宋体" w:hAnsi="宋体"/>
          <w:sz w:val="18"/>
          <w:szCs w:val="18"/>
          <w:highlight w:val="none"/>
        </w:rPr>
        <w:t>1</w:t>
      </w:r>
      <w:r>
        <w:rPr>
          <w:rFonts w:ascii="宋体" w:hAnsi="宋体"/>
          <w:sz w:val="18"/>
          <w:szCs w:val="18"/>
          <w:highlight w:val="none"/>
        </w:rPr>
        <w:t>2.</w:t>
      </w:r>
      <w:r>
        <w:rPr>
          <w:rFonts w:hint="eastAsia" w:ascii="宋体" w:hAnsi="宋体"/>
          <w:sz w:val="18"/>
          <w:szCs w:val="18"/>
          <w:highlight w:val="none"/>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highlight w:val="none"/>
        </w:rPr>
      </w:pPr>
      <w:r>
        <w:rPr>
          <w:rFonts w:ascii="宋体" w:hAnsi="宋体"/>
          <w:sz w:val="18"/>
          <w:szCs w:val="18"/>
          <w:highlight w:val="none"/>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6149"/>
      <w:bookmarkStart w:id="59" w:name="_Toc20627"/>
      <w:bookmarkStart w:id="60" w:name="_Toc545"/>
      <w:bookmarkStart w:id="61" w:name="_Toc13288"/>
      <w:bookmarkStart w:id="62" w:name="_Toc18631"/>
      <w:bookmarkStart w:id="63" w:name="_Toc74065740"/>
      <w:bookmarkStart w:id="64" w:name="_Toc6683"/>
      <w:bookmarkStart w:id="65" w:name="_Toc20318"/>
      <w:bookmarkStart w:id="66" w:name="_Toc24571"/>
      <w:bookmarkStart w:id="67" w:name="_Toc733"/>
      <w:bookmarkStart w:id="68" w:name="_Toc22708"/>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highlight w:val="none"/>
        </w:rPr>
      </w:pPr>
      <w:r>
        <w:rPr>
          <w:rFonts w:hint="eastAsia" w:ascii="Times New Roman"/>
          <w:color w:val="auto"/>
          <w:sz w:val="30"/>
          <w:highlight w:val="none"/>
        </w:rPr>
        <w:t>第三条</w:t>
      </w:r>
      <w:r>
        <w:rPr>
          <w:rFonts w:ascii="Times New Roman"/>
          <w:color w:val="auto"/>
          <w:sz w:val="30"/>
          <w:highlight w:val="none"/>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1" w:name="_Toc88482733"/>
      <w:bookmarkStart w:id="72" w:name="_Toc95897039"/>
      <w:r>
        <w:rPr>
          <w:rFonts w:hint="eastAsia" w:ascii="Times New Roman"/>
          <w:color w:val="auto"/>
          <w:sz w:val="30"/>
          <w:highlight w:val="none"/>
        </w:rPr>
        <w:t>第四条  违约责任</w:t>
      </w:r>
      <w:bookmarkEnd w:id="71"/>
      <w:bookmarkEnd w:id="72"/>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（二）双方同意，发生下列情况造成损失时，按以下约定承担责任：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3.</w:t>
      </w:r>
      <w:r>
        <w:rPr>
          <w:rFonts w:hint="eastAsia" w:ascii="黑体" w:hAnsi="黑体" w:eastAsia="黑体" w:cs="仿宋_GB2312"/>
          <w:bCs/>
          <w:kern w:val="0"/>
          <w:sz w:val="18"/>
          <w:szCs w:val="18"/>
          <w:highlight w:val="none"/>
        </w:rPr>
        <w:t>★</w:t>
      </w:r>
      <w:r>
        <w:rPr>
          <w:rFonts w:hint="eastAsia" w:ascii="黑体" w:hAnsi="黑体" w:eastAsia="黑体" w:cs="仿宋_GB2312"/>
          <w:kern w:val="0"/>
          <w:sz w:val="18"/>
          <w:szCs w:val="18"/>
          <w:highlight w:val="none"/>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3" w:name="_Toc88482734"/>
      <w:bookmarkStart w:id="74" w:name="_Toc95897040"/>
      <w:r>
        <w:rPr>
          <w:rFonts w:hint="eastAsia" w:ascii="Times New Roman"/>
          <w:color w:val="auto"/>
          <w:sz w:val="30"/>
          <w:highlight w:val="none"/>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（一）法律适用</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（二）★争议解决</w:t>
      </w:r>
    </w:p>
    <w:p>
      <w:pPr>
        <w:adjustRightInd w:val="0"/>
        <w:snapToGrid w:val="0"/>
        <w:spacing w:line="360" w:lineRule="auto"/>
        <w:ind w:firstLine="360" w:firstLineChars="200"/>
        <w:rPr>
          <w:rFonts w:ascii="黑体" w:hAnsi="黑体" w:eastAsia="黑体"/>
          <w:color w:val="000000"/>
          <w:sz w:val="18"/>
          <w:szCs w:val="18"/>
          <w:highlight w:val="none"/>
        </w:rPr>
      </w:pPr>
      <w:r>
        <w:rPr>
          <w:rFonts w:hint="eastAsia" w:ascii="宋体" w:hAnsi="宋体"/>
          <w:bCs/>
          <w:kern w:val="0"/>
          <w:sz w:val="18"/>
          <w:szCs w:val="18"/>
          <w:highlight w:val="none"/>
        </w:rPr>
        <w:t>双方在本协议书的执行过程中发生的任何争议，应通过友好协商解决。如</w:t>
      </w:r>
      <w:r>
        <w:rPr>
          <w:rFonts w:hint="eastAsia" w:ascii="黑体" w:hAnsi="黑体" w:eastAsia="黑体"/>
          <w:color w:val="000000"/>
          <w:sz w:val="18"/>
          <w:szCs w:val="18"/>
          <w:highlight w:val="none"/>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5" w:name="_Toc95897041"/>
      <w:bookmarkStart w:id="76" w:name="_Toc88482735"/>
      <w:r>
        <w:rPr>
          <w:rFonts w:hint="eastAsia" w:ascii="Times New Roman"/>
          <w:color w:val="auto"/>
          <w:sz w:val="30"/>
          <w:highlight w:val="none"/>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w:t>
      </w:r>
      <w:r>
        <w:rPr>
          <w:rFonts w:hint="eastAsia" w:ascii="宋体" w:hAnsi="宋体"/>
          <w:sz w:val="18"/>
          <w:szCs w:val="18"/>
          <w:highlight w:val="none"/>
        </w:rPr>
        <w:t>投资者若通过销售服务机构线下渠道购买本产品的</w:t>
      </w:r>
      <w:r>
        <w:rPr>
          <w:rFonts w:hint="eastAsia" w:ascii="黑体" w:hAnsi="黑体" w:eastAsia="黑体"/>
          <w:sz w:val="18"/>
          <w:szCs w:val="18"/>
          <w:highlight w:val="none"/>
        </w:rPr>
        <w:t>，本协议自投资者签字</w:t>
      </w:r>
      <w:r>
        <w:rPr>
          <w:rFonts w:ascii="黑体" w:hAnsi="黑体" w:eastAsia="黑体"/>
          <w:sz w:val="18"/>
          <w:szCs w:val="18"/>
          <w:highlight w:val="none"/>
        </w:rPr>
        <w:t>/盖章</w:t>
      </w:r>
      <w:r>
        <w:rPr>
          <w:rFonts w:hint="eastAsia" w:ascii="黑体" w:hAnsi="黑体" w:eastAsia="黑体"/>
          <w:sz w:val="18"/>
          <w:szCs w:val="18"/>
          <w:highlight w:val="none"/>
        </w:rPr>
        <w:t>（</w:t>
      </w:r>
      <w:r>
        <w:rPr>
          <w:rFonts w:hint="eastAsia" w:ascii="黑体" w:hAnsi="黑体" w:eastAsia="黑体" w:cs="仿宋_GB2312"/>
          <w:kern w:val="0"/>
          <w:sz w:val="18"/>
          <w:szCs w:val="18"/>
          <w:highlight w:val="none"/>
        </w:rPr>
        <w:t>个人投资者签字、机构投资者法定代表人或授权代理人签字或加盖名章并加盖公章或合同专用章</w:t>
      </w:r>
      <w:r>
        <w:rPr>
          <w:rFonts w:hint="eastAsia" w:ascii="黑体" w:hAnsi="黑体" w:eastAsia="黑体"/>
          <w:sz w:val="18"/>
          <w:szCs w:val="18"/>
          <w:highlight w:val="none"/>
        </w:rPr>
        <w:t>）</w:t>
      </w:r>
      <w:r>
        <w:rPr>
          <w:rFonts w:ascii="黑体" w:hAnsi="黑体" w:eastAsia="黑体"/>
          <w:sz w:val="18"/>
          <w:szCs w:val="18"/>
          <w:highlight w:val="none"/>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2.</w:t>
      </w:r>
      <w:r>
        <w:rPr>
          <w:rFonts w:hint="eastAsia" w:ascii="宋体" w:hAnsi="宋体"/>
          <w:sz w:val="18"/>
          <w:szCs w:val="18"/>
          <w:highlight w:val="none"/>
        </w:rPr>
        <w:t>投资者若通过销售服务机构线上渠道购买本产品的，</w:t>
      </w:r>
      <w:r>
        <w:rPr>
          <w:rFonts w:hint="eastAsia" w:ascii="黑体" w:hAnsi="黑体" w:eastAsia="黑体"/>
          <w:sz w:val="18"/>
          <w:szCs w:val="18"/>
          <w:highlight w:val="none"/>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1.投资者确认其已了解本产品所对应的理财产品销售文件的构成与相关内容，《</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2.投资者签署本协议即视为投资者已经阅读并认可理财产品销售文件（包括但不限于《</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黑体" w:hAnsi="黑体" w:eastAsia="黑体"/>
          <w:sz w:val="18"/>
          <w:szCs w:val="18"/>
          <w:highlight w:val="none"/>
        </w:rPr>
        <w:t>3.本协议书具备独立性</w:t>
      </w:r>
      <w:r>
        <w:rPr>
          <w:rFonts w:hint="eastAsia" w:ascii="宋体" w:hAnsi="宋体"/>
          <w:sz w:val="18"/>
          <w:szCs w:val="18"/>
          <w:highlight w:val="none"/>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4.</w:t>
      </w:r>
      <w:r>
        <w:rPr>
          <w:rFonts w:hint="eastAsia" w:ascii="黑体" w:hAnsi="黑体" w:eastAsia="黑体" w:cs="仿宋_GB2312"/>
          <w:kern w:val="0"/>
          <w:sz w:val="18"/>
          <w:szCs w:val="18"/>
          <w:highlight w:val="none"/>
        </w:rPr>
        <w:t>本协议自投资者签署之日起成立</w:t>
      </w:r>
      <w:r>
        <w:rPr>
          <w:rFonts w:ascii="黑体" w:hAnsi="黑体" w:eastAsia="黑体" w:cs="仿宋_GB2312"/>
          <w:kern w:val="0"/>
          <w:sz w:val="18"/>
          <w:szCs w:val="18"/>
          <w:highlight w:val="none"/>
        </w:rPr>
        <w:t>并</w:t>
      </w:r>
      <w:r>
        <w:rPr>
          <w:rFonts w:hint="eastAsia" w:ascii="黑体" w:hAnsi="黑体" w:eastAsia="黑体" w:cs="仿宋_GB2312"/>
          <w:kern w:val="0"/>
          <w:sz w:val="18"/>
          <w:szCs w:val="18"/>
          <w:highlight w:val="none"/>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7" w:name="_Toc88482736"/>
      <w:bookmarkStart w:id="78" w:name="_Toc95897042"/>
      <w:bookmarkStart w:id="79" w:name="_Toc77953869"/>
      <w:r>
        <w:rPr>
          <w:rFonts w:hint="eastAsia" w:ascii="Times New Roman"/>
          <w:color w:val="auto"/>
          <w:sz w:val="30"/>
          <w:highlight w:val="none"/>
        </w:rPr>
        <w:t>第七条  消费者权益保护</w:t>
      </w:r>
      <w:bookmarkEnd w:id="77"/>
      <w:bookmarkEnd w:id="78"/>
      <w:bookmarkEnd w:id="79"/>
      <w:r>
        <w:rPr>
          <w:rFonts w:hint="eastAsia" w:ascii="Times New Roman"/>
          <w:color w:val="auto"/>
          <w:sz w:val="30"/>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（二）联络方式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bookmarkStart w:id="80" w:name="_Hlk64707831"/>
      <w:r>
        <w:rPr>
          <w:rFonts w:hint="eastAsia" w:ascii="黑体" w:hAnsi="黑体" w:eastAsia="黑体"/>
          <w:sz w:val="18"/>
          <w:szCs w:val="18"/>
          <w:highlight w:val="none"/>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客户服务热线：</w:t>
      </w:r>
      <w:bookmarkEnd w:id="80"/>
      <w:r>
        <w:rPr>
          <w:rFonts w:hint="eastAsia" w:ascii="黑体" w:hAnsi="黑体" w:eastAsia="黑体"/>
          <w:sz w:val="18"/>
          <w:szCs w:val="18"/>
          <w:highlight w:val="none"/>
        </w:rPr>
        <w:t>【</w:t>
      </w:r>
      <w:r>
        <w:rPr>
          <w:rFonts w:ascii="黑体" w:hAnsi="黑体" w:eastAsia="黑体"/>
          <w:sz w:val="18"/>
          <w:szCs w:val="18"/>
          <w:highlight w:val="none"/>
        </w:rPr>
        <w:t>022-58065621</w:t>
      </w:r>
      <w:r>
        <w:rPr>
          <w:rFonts w:hint="eastAsia" w:ascii="黑体" w:hAnsi="黑体" w:eastAsia="黑体"/>
          <w:sz w:val="18"/>
          <w:szCs w:val="18"/>
          <w:highlight w:val="none"/>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r>
        <w:rPr>
          <w:rFonts w:hint="eastAsia" w:ascii="黑体" w:hAnsi="黑体" w:eastAsia="黑体"/>
          <w:sz w:val="18"/>
          <w:szCs w:val="18"/>
          <w:highlight w:val="none"/>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highlight w:val="none"/>
        </w:rPr>
      </w:pPr>
      <w:r>
        <w:rPr>
          <w:rFonts w:ascii="黑体" w:hAnsi="黑体" w:eastAsia="黑体" w:cs="仿宋_GB2312"/>
          <w:kern w:val="0"/>
          <w:sz w:val="18"/>
          <w:szCs w:val="18"/>
          <w:highlight w:val="none"/>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赎回</w:t>
            </w:r>
          </w:p>
        </w:tc>
        <w:tc>
          <w:tcPr>
            <w:tcW w:w="5987" w:type="dxa"/>
            <w:vAlign w:val="center"/>
          </w:tcPr>
          <w:p>
            <w:pPr>
              <w:autoSpaceDE w:val="0"/>
              <w:autoSpaceDN w:val="0"/>
              <w:adjustRightInd w:val="0"/>
              <w:snapToGrid w:val="0"/>
              <w:spacing w:line="360" w:lineRule="auto"/>
              <w:rPr>
                <w:rFonts w:ascii="宋体" w:hAnsi="宋体" w:cs="宋体"/>
                <w:b/>
                <w:sz w:val="18"/>
                <w:szCs w:val="18"/>
                <w:highlight w:val="none"/>
              </w:rPr>
            </w:pPr>
            <w:r>
              <w:rPr>
                <w:rFonts w:ascii="宋体" w:hAnsi="宋体"/>
                <w:b/>
                <w:bCs/>
                <w:sz w:val="18"/>
                <w:szCs w:val="18"/>
                <w:highlight w:val="none"/>
              </w:rPr>
              <w:t>份额：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sz w:val="18"/>
                <w:szCs w:val="18"/>
                <w:highlight w:val="none"/>
              </w:rPr>
              <w:t xml:space="preserve">【 </w:t>
            </w:r>
            <w:r>
              <w:rPr>
                <w:rFonts w:ascii="宋体" w:hAnsi="宋体"/>
                <w:sz w:val="18"/>
                <w:szCs w:val="18"/>
                <w:highlight w:val="none"/>
              </w:rPr>
              <w:t>】年</w:t>
            </w:r>
            <w:r>
              <w:rPr>
                <w:rFonts w:hint="eastAsia" w:ascii="宋体" w:hAnsi="宋体"/>
                <w:sz w:val="18"/>
                <w:szCs w:val="18"/>
                <w:highlight w:val="none"/>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highlight w:val="none"/>
              </w:rPr>
            </w:pPr>
            <w:r>
              <w:rPr>
                <w:rFonts w:hint="eastAsia" w:ascii="宋体" w:hAnsi="宋体"/>
                <w:b/>
                <w:sz w:val="18"/>
                <w:szCs w:val="18"/>
                <w:highlight w:val="none"/>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highlight w:val="none"/>
              </w:rPr>
            </w:pPr>
            <w:r>
              <w:rPr>
                <w:rFonts w:hint="eastAsia" w:ascii="宋体" w:hAnsi="宋体"/>
                <w:sz w:val="18"/>
                <w:szCs w:val="18"/>
                <w:highlight w:val="none"/>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highlight w:val="none"/>
              </w:rPr>
            </w:pPr>
            <w:r>
              <w:rPr>
                <w:rFonts w:hint="eastAsia" w:ascii="黑体" w:hAnsi="黑体" w:eastAsia="黑体"/>
                <w:sz w:val="18"/>
                <w:szCs w:val="18"/>
                <w:highlight w:val="none"/>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highlight w:val="none"/>
              </w:rPr>
            </w:pPr>
            <w:r>
              <w:rPr>
                <w:rFonts w:hint="eastAsia" w:ascii="宋体" w:hAnsi="宋体"/>
                <w:b/>
                <w:sz w:val="18"/>
                <w:szCs w:val="18"/>
                <w:highlight w:val="none"/>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1、在签署本《</w:t>
            </w:r>
            <w:r>
              <w:rPr>
                <w:rFonts w:hint="eastAsia" w:ascii="黑体" w:hAnsi="黑体" w:eastAsia="黑体"/>
                <w:sz w:val="18"/>
                <w:szCs w:val="18"/>
                <w:highlight w:val="none"/>
              </w:rPr>
              <w:t>投资</w:t>
            </w:r>
            <w:r>
              <w:rPr>
                <w:rFonts w:ascii="黑体" w:hAnsi="黑体" w:eastAsia="黑体"/>
                <w:sz w:val="18"/>
                <w:szCs w:val="18"/>
                <w:highlight w:val="none"/>
              </w:rPr>
              <w:t>协议书》以前，投资者已认真阅读理财产品销售文件（包括但不限于《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《理财产品说明书》</w:t>
            </w:r>
            <w:r>
              <w:rPr>
                <w:rFonts w:ascii="黑体" w:hAnsi="黑体" w:eastAsia="黑体"/>
                <w:sz w:val="18"/>
                <w:szCs w:val="18"/>
                <w:highlight w:val="none"/>
              </w:rPr>
              <w:t>、</w:t>
            </w:r>
            <w:r>
              <w:rPr>
                <w:rFonts w:hint="eastAsia" w:ascii="黑体" w:hAnsi="黑体" w:eastAsia="黑体"/>
                <w:sz w:val="18"/>
                <w:szCs w:val="18"/>
                <w:highlight w:val="none"/>
              </w:rPr>
              <w:t>《理财产品（代理）销售协议书》、</w:t>
            </w:r>
            <w:r>
              <w:rPr>
                <w:rFonts w:ascii="黑体" w:hAnsi="黑体" w:eastAsia="黑体"/>
                <w:sz w:val="18"/>
                <w:szCs w:val="18"/>
                <w:highlight w:val="none"/>
              </w:rPr>
              <w:t>《风险揭示书》、《投资者权益须知》等文件）的全部内容，</w:t>
            </w:r>
            <w:r>
              <w:rPr>
                <w:rFonts w:hint="eastAsia" w:ascii="黑体" w:hAnsi="黑体" w:eastAsia="黑体"/>
                <w:sz w:val="18"/>
                <w:szCs w:val="18"/>
                <w:highlight w:val="none"/>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hint="eastAsia" w:ascii="黑体" w:hAnsi="黑体" w:eastAsia="黑体"/>
                <w:sz w:val="18"/>
                <w:szCs w:val="18"/>
                <w:highlight w:val="none"/>
              </w:rPr>
              <w:t>3、投资者</w:t>
            </w:r>
            <w:r>
              <w:rPr>
                <w:rFonts w:ascii="黑体" w:hAnsi="黑体" w:eastAsia="黑体"/>
                <w:sz w:val="18"/>
                <w:szCs w:val="18"/>
                <w:highlight w:val="none"/>
              </w:rPr>
              <w:t>已认真阅读并充分理解包括但不限于《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等全套理财产品销售文件</w:t>
            </w:r>
            <w:r>
              <w:rPr>
                <w:rFonts w:ascii="黑体" w:hAnsi="黑体" w:eastAsia="黑体"/>
                <w:sz w:val="18"/>
                <w:szCs w:val="18"/>
                <w:highlight w:val="none"/>
              </w:rPr>
              <w:t>关于投资理财产品及其全部风险的有关内容，同意本次</w:t>
            </w:r>
            <w:r>
              <w:rPr>
                <w:rFonts w:hint="eastAsia" w:ascii="黑体" w:hAnsi="黑体" w:eastAsia="黑体"/>
                <w:sz w:val="18"/>
                <w:szCs w:val="18"/>
                <w:highlight w:val="none"/>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highlight w:val="none"/>
              </w:rPr>
            </w:pPr>
            <w:r>
              <w:rPr>
                <w:rFonts w:hint="eastAsia"/>
                <w:b/>
                <w:sz w:val="18"/>
                <w:szCs w:val="18"/>
                <w:highlight w:val="none"/>
              </w:rPr>
              <w:t>投资者签署栏</w:t>
            </w:r>
          </w:p>
        </w:tc>
        <w:tc>
          <w:tcPr>
            <w:tcW w:w="851" w:type="dxa"/>
            <w:gridSpan w:val="2"/>
          </w:tcPr>
          <w:p>
            <w:pPr>
              <w:spacing w:line="360" w:lineRule="auto"/>
              <w:rPr>
                <w:b/>
                <w:sz w:val="18"/>
                <w:szCs w:val="18"/>
                <w:highlight w:val="none"/>
              </w:rPr>
            </w:pPr>
            <w:r>
              <w:rPr>
                <w:rFonts w:hint="eastAsia"/>
                <w:b/>
                <w:sz w:val="18"/>
                <w:szCs w:val="18"/>
                <w:highlight w:val="none"/>
              </w:rPr>
              <w:t>个人投资者适用</w:t>
            </w:r>
          </w:p>
        </w:tc>
        <w:tc>
          <w:tcPr>
            <w:tcW w:w="6998" w:type="dxa"/>
            <w:gridSpan w:val="2"/>
          </w:tcPr>
          <w:p>
            <w:pPr>
              <w:spacing w:line="360" w:lineRule="auto"/>
              <w:rPr>
                <w:sz w:val="18"/>
                <w:szCs w:val="18"/>
                <w:highlight w:val="none"/>
              </w:rPr>
            </w:pPr>
            <w:r>
              <w:rPr>
                <w:rFonts w:hint="eastAsia"/>
                <w:sz w:val="18"/>
                <w:szCs w:val="18"/>
                <w:highlight w:val="none"/>
              </w:rPr>
              <w:t>投资者（签字）：</w:t>
            </w:r>
          </w:p>
          <w:p>
            <w:pPr>
              <w:spacing w:line="360" w:lineRule="auto"/>
              <w:rPr>
                <w:b/>
                <w:sz w:val="18"/>
                <w:szCs w:val="18"/>
                <w:highlight w:val="none"/>
              </w:rPr>
            </w:pPr>
          </w:p>
          <w:p>
            <w:pPr>
              <w:spacing w:line="360" w:lineRule="auto"/>
              <w:rPr>
                <w:b/>
                <w:sz w:val="18"/>
                <w:szCs w:val="18"/>
                <w:highlight w:val="none"/>
              </w:rPr>
            </w:pPr>
            <w:r>
              <w:rPr>
                <w:rFonts w:hint="eastAsia"/>
                <w:sz w:val="18"/>
                <w:szCs w:val="18"/>
                <w:highlight w:val="none"/>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highlight w:val="none"/>
              </w:rPr>
            </w:pPr>
          </w:p>
        </w:tc>
        <w:tc>
          <w:tcPr>
            <w:tcW w:w="851" w:type="dxa"/>
            <w:gridSpan w:val="2"/>
          </w:tcPr>
          <w:p>
            <w:pPr>
              <w:spacing w:line="360" w:lineRule="auto"/>
              <w:rPr>
                <w:b/>
                <w:sz w:val="18"/>
                <w:szCs w:val="18"/>
                <w:highlight w:val="none"/>
              </w:rPr>
            </w:pPr>
            <w:r>
              <w:rPr>
                <w:rFonts w:hint="eastAsia"/>
                <w:b/>
                <w:sz w:val="18"/>
                <w:szCs w:val="18"/>
                <w:highlight w:val="none"/>
              </w:rPr>
              <w:t>机构投资者适用</w:t>
            </w:r>
          </w:p>
        </w:tc>
        <w:tc>
          <w:tcPr>
            <w:tcW w:w="6998" w:type="dxa"/>
            <w:gridSpan w:val="2"/>
          </w:tcPr>
          <w:p>
            <w:pPr>
              <w:spacing w:line="360" w:lineRule="auto"/>
              <w:rPr>
                <w:rFonts w:cs="Arial"/>
                <w:sz w:val="18"/>
                <w:szCs w:val="18"/>
                <w:highlight w:val="none"/>
              </w:rPr>
            </w:pPr>
            <w:r>
              <w:rPr>
                <w:rFonts w:hint="eastAsia"/>
                <w:sz w:val="18"/>
                <w:szCs w:val="18"/>
                <w:highlight w:val="none"/>
              </w:rPr>
              <w:t>投资者</w:t>
            </w:r>
            <w:r>
              <w:rPr>
                <w:rFonts w:hint="eastAsia" w:cs="Arial"/>
                <w:sz w:val="18"/>
                <w:szCs w:val="18"/>
                <w:highlight w:val="none"/>
              </w:rPr>
              <w:t>（盖章）：</w:t>
            </w:r>
          </w:p>
          <w:p>
            <w:pPr>
              <w:spacing w:line="360" w:lineRule="auto"/>
              <w:rPr>
                <w:rFonts w:cs="Arial"/>
                <w:sz w:val="18"/>
                <w:szCs w:val="18"/>
                <w:highlight w:val="none"/>
              </w:rPr>
            </w:pPr>
          </w:p>
          <w:p>
            <w:pPr>
              <w:spacing w:line="360" w:lineRule="auto"/>
              <w:rPr>
                <w:rFonts w:cs="Arial"/>
                <w:sz w:val="18"/>
                <w:szCs w:val="18"/>
                <w:highlight w:val="none"/>
              </w:rPr>
            </w:pPr>
            <w:r>
              <w:rPr>
                <w:rFonts w:hint="eastAsia" w:cs="Arial"/>
                <w:sz w:val="18"/>
                <w:szCs w:val="18"/>
                <w:highlight w:val="none"/>
              </w:rPr>
              <w:t>投资者法定代表人或授权代理人（签字或盖章）：</w:t>
            </w:r>
          </w:p>
          <w:p>
            <w:pPr>
              <w:spacing w:line="360" w:lineRule="auto"/>
              <w:rPr>
                <w:b/>
                <w:sz w:val="18"/>
                <w:szCs w:val="18"/>
                <w:highlight w:val="none"/>
              </w:rPr>
            </w:pPr>
          </w:p>
          <w:p>
            <w:pPr>
              <w:spacing w:line="360" w:lineRule="auto"/>
              <w:rPr>
                <w:sz w:val="18"/>
                <w:szCs w:val="18"/>
                <w:highlight w:val="none"/>
              </w:rPr>
            </w:pPr>
            <w:r>
              <w:rPr>
                <w:rFonts w:hint="eastAsia"/>
                <w:sz w:val="18"/>
                <w:szCs w:val="18"/>
                <w:highlight w:val="none"/>
              </w:rPr>
              <w:t>日期：</w:t>
            </w:r>
          </w:p>
        </w:tc>
      </w:tr>
    </w:tbl>
    <w:p>
      <w:r>
        <w:rPr>
          <w:rFonts w:hint="eastAsia" w:ascii="宋体" w:hAnsi="宋体"/>
          <w:b/>
          <w:sz w:val="18"/>
          <w:szCs w:val="18"/>
          <w:highlight w:val="none"/>
        </w:rPr>
        <w:t>（本《投资协议书》</w:t>
      </w:r>
      <w:r>
        <w:rPr>
          <w:rFonts w:hint="eastAsia" w:ascii="宋体" w:hAnsi="宋体" w:cs="Arial"/>
          <w:b/>
          <w:sz w:val="18"/>
          <w:szCs w:val="18"/>
          <w:highlight w:val="none"/>
        </w:rPr>
        <w:t>共有三份</w:t>
      </w:r>
      <w:r>
        <w:rPr>
          <w:rFonts w:ascii="宋体" w:hAnsi="宋体" w:cs="Arial"/>
          <w:b/>
          <w:sz w:val="18"/>
          <w:szCs w:val="18"/>
          <w:highlight w:val="none"/>
        </w:rPr>
        <w:t>签署</w:t>
      </w:r>
      <w:r>
        <w:rPr>
          <w:rFonts w:hint="eastAsia" w:ascii="宋体" w:hAnsi="宋体" w:cs="Arial"/>
          <w:b/>
          <w:sz w:val="18"/>
          <w:szCs w:val="18"/>
          <w:highlight w:val="none"/>
        </w:rPr>
        <w:t>文本，第一联销售服务机构留存，第二联投资者留存，第三联产品管理人留存</w:t>
      </w:r>
      <w:r>
        <w:rPr>
          <w:rFonts w:hint="eastAsia" w:ascii="宋体" w:hAnsi="宋体"/>
          <w:b/>
          <w:sz w:val="18"/>
          <w:szCs w:val="18"/>
          <w:highlight w:val="none"/>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7B3489"/>
    <w:rsid w:val="267F6674"/>
    <w:rsid w:val="647B3489"/>
    <w:rsid w:val="6C877222"/>
    <w:rsid w:val="72DB00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2026-07-01T06:46:00Z</dcterms:created>
  <cp:lastModifiedBy>bylccpglb</cp:lastModifiedBy>
  <dcterms:modified xsi:type="dcterms:W3CDTF">2026-07-01T07:51:40Z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0CF0FA09AC53488CB4B0438D667AE661</vt:lpwstr>
  </property>
</Properties>
</file>