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2" w:name="_GoBack"/>
      <w:bookmarkEnd w:id="2"/>
      <w:r>
        <w:rPr>
          <w:rFonts w:hint="eastAsia" w:ascii="华文仿宋" w:hAnsi="华文仿宋" w:eastAsia="华文仿宋" w:cs="华文仿宋"/>
          <w:b/>
          <w:bCs/>
          <w:sz w:val="32"/>
          <w:szCs w:val="32"/>
          <w:highlight w:val="none"/>
          <w:lang w:eastAsia="zh-CN"/>
        </w:rPr>
        <w:t>渤银理财财收有略系列固定收益类一年封闭式理财产品2026年146号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w:t>
      </w:r>
      <w:r>
        <w:rPr>
          <w:rFonts w:ascii="宋体" w:hAnsi="宋体" w:eastAsia="宋体"/>
          <w:sz w:val="24"/>
          <w:szCs w:val="24"/>
          <w:highlight w:val="none"/>
        </w:rPr>
        <w:t>银行</w:t>
      </w:r>
      <w:r>
        <w:rPr>
          <w:rFonts w:hint="eastAsia" w:ascii="宋体" w:hAnsi="宋体" w:eastAsia="宋体"/>
          <w:sz w:val="24"/>
          <w:szCs w:val="24"/>
          <w:highlight w:val="none"/>
        </w:rPr>
        <w:t>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《渤银理财财收有略系列固定收益类一年封闭式理财产品2026年146号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：渤银理财财收有略系列固定收益类一年封闭式理财产品2026年146号</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CSFB1Y26146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渤银理财财收有略一年2026年146号A款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渤银理财财收有略一年2026年146号B款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渤银理财财收有略一年2026年146号C款（温行专属）</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CSFB1Y26146A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CSFB1Y26146</w:t>
            </w:r>
            <w:r>
              <w:rPr>
                <w:rFonts w:hint="eastAsia" w:ascii="宋体" w:hAnsi="宋体" w:eastAsia="宋体"/>
                <w:sz w:val="24"/>
                <w:szCs w:val="24"/>
                <w:highlight w:val="none"/>
              </w:rPr>
              <w:t>B】</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CSFB1Y26146C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default" w:ascii="宋体" w:hAnsi="宋体" w:eastAsia="宋体" w:cs="宋体"/>
                <w:sz w:val="24"/>
                <w:szCs w:val="24"/>
                <w:lang w:val="en-US" w:eastAsia="zh-CN"/>
              </w:rPr>
            </w:pPr>
            <w:r>
              <w:rPr>
                <w:rFonts w:hint="eastAsia" w:ascii="宋体" w:hAnsi="宋体" w:eastAsia="宋体" w:cs="宋体"/>
                <w:sz w:val="24"/>
                <w:szCs w:val="24"/>
              </w:rPr>
              <w:t>Z7008426000</w:t>
            </w:r>
            <w:r>
              <w:rPr>
                <w:rFonts w:hint="eastAsia" w:ascii="宋体" w:hAnsi="宋体" w:eastAsia="宋体" w:cs="宋体"/>
                <w:sz w:val="24"/>
                <w:szCs w:val="24"/>
                <w:lang w:val="en-US" w:eastAsia="zh-CN"/>
              </w:rPr>
              <w:t>495</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w:t>
            </w:r>
            <w:r>
              <w:rPr>
                <w:rFonts w:hint="eastAsia" w:ascii="宋体" w:hAnsi="宋体" w:eastAsia="宋体" w:cs="宋体"/>
                <w:sz w:val="24"/>
                <w:szCs w:val="24"/>
                <w:highlight w:val="none"/>
                <w:lang w:val="en-US" w:eastAsia="zh-CN"/>
              </w:rPr>
              <w:t>盛京银行股份有限公司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w:t>
            </w:r>
            <w:r>
              <w:rPr>
                <w:rFonts w:hint="eastAsia" w:ascii="宋体" w:hAnsi="宋体" w:eastAsia="宋体" w:cs="宋体"/>
                <w:sz w:val="24"/>
                <w:szCs w:val="24"/>
                <w:highlight w:val="none"/>
                <w:lang w:val="en-US" w:eastAsia="zh-CN"/>
              </w:rPr>
              <w:t>盛京银行股份有限公司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w:t>
            </w:r>
            <w:r>
              <w:rPr>
                <w:rFonts w:hint="eastAsia" w:ascii="宋体" w:hAnsi="宋体" w:eastAsia="宋体"/>
                <w:color w:val="000000" w:themeColor="text1"/>
                <w:sz w:val="24"/>
                <w:szCs w:val="24"/>
                <w:highlight w:val="none"/>
                <w:lang w:val="en-US" w:eastAsia="zh-CN"/>
                <w14:textFill>
                  <w14:solidFill>
                    <w14:schemeClr w14:val="tx1"/>
                  </w14:solidFill>
                </w14:textFill>
              </w:rPr>
              <w:t>温州银行股份有限公司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jc w:val="both"/>
              <w:rPr>
                <w:rFonts w:hint="eastAsia" w:ascii="宋体" w:hAnsi="宋体" w:eastAsia="宋体"/>
                <w:sz w:val="24"/>
                <w:szCs w:val="24"/>
                <w:highlight w:val="none"/>
              </w:rPr>
            </w:pP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整数倍递增。追加认购起点金额为【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；超出部分，需以【</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整数倍递增。</w:t>
            </w:r>
          </w:p>
          <w:p>
            <w:pPr>
              <w:spacing w:line="300" w:lineRule="auto"/>
              <w:jc w:val="both"/>
              <w:rPr>
                <w:rFonts w:hint="eastAsia" w:ascii="宋体" w:hAnsi="宋体" w:eastAsia="宋体"/>
                <w:sz w:val="24"/>
                <w:szCs w:val="24"/>
                <w:highlight w:val="none"/>
              </w:rPr>
            </w:pPr>
            <w:r>
              <w:rPr>
                <w:rFonts w:hint="eastAsia" w:ascii="宋体" w:hAnsi="宋体" w:eastAsia="宋体"/>
                <w:sz w:val="24"/>
                <w:szCs w:val="24"/>
                <w:highlight w:val="none"/>
              </w:rPr>
              <w:t>★【B类份额】：认购起点为人民币【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整数倍递增。追加认购起点金额为【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；超出部分，需以【</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整数倍递增。</w:t>
            </w:r>
          </w:p>
          <w:p>
            <w:pPr>
              <w:spacing w:line="300" w:lineRule="auto"/>
              <w:jc w:val="both"/>
              <w:rPr>
                <w:rFonts w:hint="eastAsia" w:ascii="宋体" w:hAnsi="宋体" w:eastAsia="宋体"/>
                <w:sz w:val="24"/>
                <w:szCs w:val="24"/>
                <w:highlight w:val="none"/>
              </w:rPr>
            </w:pP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整数倍递增。追加认购起点金额为【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；超出部分，需以【</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元</w:t>
            </w:r>
            <w:r>
              <w:rPr>
                <w:rFonts w:hint="eastAsia"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w:t>
            </w:r>
            <w:r>
              <w:rPr>
                <w:rFonts w:hint="eastAsia" w:ascii="宋体" w:hAnsi="宋体" w:eastAsia="宋体" w:cs="宋体"/>
                <w:sz w:val="24"/>
                <w:szCs w:val="24"/>
                <w:highlight w:val="none"/>
              </w:rPr>
              <w:t>因收益分配、净值变动等被动超上限的情形除外。</w:t>
            </w:r>
          </w:p>
          <w:p>
            <w:pPr>
              <w:spacing w:line="30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w:t>
            </w:r>
            <w:r>
              <w:rPr>
                <w:rFonts w:hint="eastAsia" w:ascii="宋体" w:hAnsi="宋体" w:eastAsia="宋体" w:cs="宋体"/>
                <w:sz w:val="24"/>
                <w:szCs w:val="24"/>
                <w:highlight w:val="none"/>
              </w:rPr>
              <w:t>因收益分配、净值变动等被动超上限的情形除外。</w:t>
            </w:r>
          </w:p>
          <w:p>
            <w:pPr>
              <w:spacing w:line="30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类份额】：单一个人投资者持有上限为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w:t>
            </w:r>
            <w:r>
              <w:rPr>
                <w:rFonts w:hint="eastAsia" w:ascii="宋体" w:hAnsi="宋体" w:eastAsia="宋体" w:cs="宋体"/>
                <w:sz w:val="24"/>
                <w:szCs w:val="24"/>
                <w:highlight w:val="none"/>
              </w:rPr>
              <w:t>元，单一机构投资者持有上限为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w:t>
            </w:r>
            <w:r>
              <w:rPr>
                <w:rFonts w:hint="eastAsia" w:ascii="宋体" w:hAnsi="宋体" w:eastAsia="宋体" w:cs="宋体"/>
                <w:sz w:val="24"/>
                <w:szCs w:val="24"/>
                <w:highlight w:val="none"/>
              </w:rPr>
              <w:t>元。在产品运作过程中因收益分配、净值变动等被动超上限的情形除外。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13</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9</w:t>
            </w:r>
            <w:r>
              <w:rPr>
                <w:rFonts w:ascii="宋体" w:hAnsi="宋体" w:eastAsia="宋体"/>
                <w:sz w:val="24"/>
                <w:szCs w:val="24"/>
                <w:highlight w:val="none"/>
              </w:rPr>
              <w:t>】月【</w:t>
            </w:r>
            <w:r>
              <w:rPr>
                <w:rFonts w:hint="eastAsia" w:ascii="宋体" w:hAnsi="宋体" w:eastAsia="宋体"/>
                <w:sz w:val="24"/>
                <w:szCs w:val="24"/>
                <w:highlight w:val="none"/>
                <w:lang w:val="en-US" w:eastAsia="zh-CN"/>
              </w:rPr>
              <w:t>8</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421</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2.60%-2.95%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2.50%-2.85%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2.55%-2.90%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0"/>
                <w:numId w:val="6"/>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1"/>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★【A类份额】：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color w:val="000000" w:themeColor="text1"/>
                <w:sz w:val="24"/>
                <w:szCs w:val="24"/>
                <w:highlight w:val="none"/>
                <w:lang w:val="en-US" w:eastAsia="zh-CN"/>
                <w14:textFill>
                  <w14:solidFill>
                    <w14:schemeClr w14:val="tx1"/>
                  </w14:solidFill>
                </w14:textFill>
              </w:rPr>
              <w:t>2.78</w:t>
            </w:r>
            <w:r>
              <w:rPr>
                <w:rFonts w:hint="eastAsia" w:ascii="宋体" w:hAnsi="宋体" w:eastAsia="宋体"/>
                <w:b/>
                <w:bCs/>
                <w:color w:val="000000" w:themeColor="text1"/>
                <w:sz w:val="24"/>
                <w:szCs w:val="24"/>
                <w:highlight w:val="none"/>
                <w14:textFill>
                  <w14:solidFill>
                    <w14:schemeClr w14:val="tx1"/>
                  </w14:solidFill>
                </w14:textFill>
              </w:rPr>
              <w:t>%】</w:t>
            </w:r>
          </w:p>
          <w:p>
            <w:pPr>
              <w:numPr>
                <w:ilvl w:val="-1"/>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B</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color w:val="000000" w:themeColor="text1"/>
                <w:sz w:val="24"/>
                <w:szCs w:val="24"/>
                <w:highlight w:val="none"/>
                <w:lang w:val="en-US" w:eastAsia="zh-CN"/>
                <w14:textFill>
                  <w14:solidFill>
                    <w14:schemeClr w14:val="tx1"/>
                  </w14:solidFill>
                </w14:textFill>
              </w:rPr>
              <w:t>2.68</w:t>
            </w:r>
            <w:r>
              <w:rPr>
                <w:rFonts w:hint="eastAsia" w:ascii="宋体" w:hAnsi="宋体" w:eastAsia="宋体"/>
                <w:b/>
                <w:bCs/>
                <w:color w:val="000000" w:themeColor="text1"/>
                <w:sz w:val="24"/>
                <w:szCs w:val="24"/>
                <w:highlight w:val="none"/>
                <w14:textFill>
                  <w14:solidFill>
                    <w14:schemeClr w14:val="tx1"/>
                  </w14:solidFill>
                </w14:textFill>
              </w:rPr>
              <w:t>%】</w:t>
            </w:r>
          </w:p>
          <w:p>
            <w:pPr>
              <w:numPr>
                <w:ilvl w:val="-1"/>
                <w:numId w:val="0"/>
              </w:numPr>
              <w:spacing w:line="240" w:lineRule="auto"/>
              <w:jc w:val="left"/>
              <w:rPr>
                <w:rFonts w:hint="eastAsia" w:ascii="宋体" w:hAnsi="宋体" w:eastAsia="宋体"/>
                <w:sz w:val="24"/>
                <w:szCs w:val="24"/>
                <w:highlight w:val="none"/>
                <w:lang w:eastAsia="zh-CN"/>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color w:val="000000" w:themeColor="text1"/>
                <w:sz w:val="24"/>
                <w:szCs w:val="24"/>
                <w:highlight w:val="none"/>
                <w:lang w:val="en-US" w:eastAsia="zh-CN"/>
                <w14:textFill>
                  <w14:solidFill>
                    <w14:schemeClr w14:val="tx1"/>
                  </w14:solidFill>
                </w14:textFill>
              </w:rPr>
              <w:t>2.73</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lang w:val="en-US" w:eastAsia="zh-CN"/>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widowControl/>
              <w:numPr>
                <w:ilvl w:val="255"/>
                <w:numId w:val="0"/>
              </w:numPr>
              <w:spacing w:line="300" w:lineRule="auto"/>
              <w:jc w:val="left"/>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w:t>
            </w:r>
            <w:r>
              <w:rPr>
                <w:rFonts w:hint="eastAsia" w:ascii="宋体" w:hAnsi="宋体" w:eastAsia="宋体"/>
                <w:b/>
                <w:bCs/>
                <w:sz w:val="24"/>
                <w:szCs w:val="24"/>
              </w:rPr>
              <w:t>若</w:t>
            </w:r>
            <w:r>
              <w:rPr>
                <w:rFonts w:hint="eastAsia" w:ascii="宋体" w:hAnsi="宋体" w:eastAsia="宋体"/>
                <w:b/>
                <w:bCs/>
                <w:sz w:val="24"/>
                <w:szCs w:val="24"/>
                <w:lang w:val="en-US" w:eastAsia="zh-CN"/>
              </w:rPr>
              <w:t>理财产品</w:t>
            </w:r>
            <w:r>
              <w:rPr>
                <w:rFonts w:hint="eastAsia" w:ascii="宋体" w:hAnsi="宋体" w:eastAsia="宋体"/>
                <w:b/>
                <w:bCs/>
                <w:sz w:val="24"/>
                <w:szCs w:val="24"/>
              </w:rPr>
              <w:t>份额净值折算的年化收益率超过超额业绩报酬计提基准，则产品管理人收取超过超额业绩报酬计提基准部分的</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w:t>
            </w:r>
            <w:r>
              <w:rPr>
                <w:rFonts w:hint="eastAsia" w:ascii="宋体" w:hAnsi="宋体" w:eastAsia="宋体"/>
                <w:b/>
                <w:bCs/>
                <w:sz w:val="24"/>
                <w:szCs w:val="24"/>
              </w:rPr>
              <w:t>为超额业绩报酬。超额业绩报酬精确到小数点后2位，小数点2位以后四舍五入。</w:t>
            </w:r>
            <w:r>
              <w:rPr>
                <w:rFonts w:ascii="宋体" w:hAnsi="宋体" w:eastAsia="宋体"/>
                <w:b/>
                <w:bCs/>
                <w:sz w:val="24"/>
                <w:szCs w:val="24"/>
              </w:rPr>
              <w:t>产品管理人保留变更上述理财产品费率标准的权</w:t>
            </w:r>
            <w:r>
              <w:rPr>
                <w:rFonts w:hint="eastAsia" w:ascii="宋体" w:hAnsi="宋体" w:eastAsia="宋体"/>
                <w:b/>
                <w:bCs/>
                <w:sz w:val="24"/>
                <w:szCs w:val="24"/>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7"/>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1.久期配置策略：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2.信用类债券投资策略：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3.息差策略：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4.非标准化债权类资产投资策略：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7</w:t>
      </w:r>
      <w:r>
        <w:rPr>
          <w:rFonts w:ascii="宋体" w:hAnsi="宋体" w:eastAsia="宋体"/>
          <w:sz w:val="24"/>
          <w:szCs w:val="24"/>
          <w:highlight w:val="none"/>
        </w:rPr>
        <w:t>】月【</w:t>
      </w:r>
      <w:r>
        <w:rPr>
          <w:rFonts w:hint="eastAsia" w:ascii="宋体" w:hAnsi="宋体" w:eastAsia="宋体"/>
          <w:sz w:val="24"/>
          <w:szCs w:val="24"/>
          <w:highlight w:val="none"/>
          <w:lang w:val="en-US" w:eastAsia="zh-CN"/>
        </w:rPr>
        <w:t>13</w:t>
      </w:r>
      <w:r>
        <w:rPr>
          <w:rFonts w:ascii="宋体" w:hAnsi="宋体" w:eastAsia="宋体"/>
          <w:sz w:val="24"/>
          <w:szCs w:val="24"/>
          <w:highlight w:val="none"/>
        </w:rPr>
        <w:t>】</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20万</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jc w:val="left"/>
        <w:outlineLvl w:val="1"/>
        <w:rPr>
          <w:rFonts w:hint="eastAsia" w:ascii="宋体" w:hAnsi="宋体" w:cs="宋体"/>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如已扣款至产品募集账户）将返还至投资者约定交易账户。</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color w:val="000000" w:themeColor="text1"/>
          <w:sz w:val="24"/>
          <w:szCs w:val="24"/>
          <w:highlight w:val="none"/>
          <w14:textFill>
            <w14:solidFill>
              <w14:schemeClr w14:val="tx1"/>
            </w14:solidFill>
          </w14:textFill>
        </w:rPr>
      </w:pPr>
      <w:r>
        <w:rPr>
          <w:rFonts w:ascii="宋体" w:hAnsi="宋体" w:eastAsia="宋体"/>
          <w:b/>
          <w:bCs/>
          <w:color w:val="000000" w:themeColor="text1"/>
          <w:sz w:val="24"/>
          <w:szCs w:val="24"/>
          <w:highlight w:val="none"/>
          <w14:textFill>
            <w14:solidFill>
              <w14:schemeClr w14:val="tx1"/>
            </w14:solidFill>
          </w14:textFill>
        </w:rPr>
        <w:t>6.</w:t>
      </w:r>
      <w:r>
        <w:rPr>
          <w:rFonts w:hint="eastAsia" w:ascii="宋体" w:hAnsi="宋体" w:eastAsia="宋体"/>
          <w:b/>
          <w:bCs/>
          <w:color w:val="000000" w:themeColor="text1"/>
          <w:sz w:val="24"/>
          <w:szCs w:val="24"/>
          <w:highlight w:val="none"/>
          <w14:textFill>
            <w14:solidFill>
              <w14:schemeClr w14:val="tx1"/>
            </w14:solidFill>
          </w14:textFill>
        </w:rPr>
        <w:t>超额业绩报酬：管理人收取理财产品超额业绩报酬。理财产品终止日或某类份额终止日的前一日为计提评价日，超额业绩报酬于计提评价日计提并于此后【</w:t>
      </w:r>
      <w:r>
        <w:rPr>
          <w:rFonts w:ascii="宋体" w:hAnsi="宋体" w:eastAsia="宋体"/>
          <w:b/>
          <w:bCs/>
          <w:color w:val="000000" w:themeColor="text1"/>
          <w:sz w:val="24"/>
          <w:szCs w:val="24"/>
          <w:highlight w:val="none"/>
          <w14:textFill>
            <w14:solidFill>
              <w14:schemeClr w14:val="tx1"/>
            </w14:solidFill>
          </w14:textFill>
        </w:rPr>
        <w:t>10</w:t>
      </w:r>
      <w:r>
        <w:rPr>
          <w:rFonts w:hint="eastAsia" w:ascii="宋体" w:hAnsi="宋体" w:eastAsia="宋体"/>
          <w:b/>
          <w:bCs/>
          <w:color w:val="000000" w:themeColor="text1"/>
          <w:sz w:val="24"/>
          <w:szCs w:val="24"/>
          <w:highlight w:val="none"/>
          <w14:textFill>
            <w14:solidFill>
              <w14:schemeClr w14:val="tx1"/>
            </w14:solidFill>
          </w14:textFill>
        </w:rPr>
        <w:t>】个工作日内支付</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超额业绩报酬精确到小数点后</w:t>
      </w:r>
      <w:r>
        <w:rPr>
          <w:rFonts w:ascii="宋体" w:hAnsi="宋体" w:eastAsia="宋体"/>
          <w:b/>
          <w:bCs/>
          <w:color w:val="000000" w:themeColor="text1"/>
          <w:sz w:val="24"/>
          <w:szCs w:val="24"/>
          <w:highlight w:val="none"/>
          <w14:textFill>
            <w14:solidFill>
              <w14:schemeClr w14:val="tx1"/>
            </w14:solidFill>
          </w14:textFill>
        </w:rPr>
        <w:t>2</w:t>
      </w:r>
      <w:r>
        <w:rPr>
          <w:rFonts w:hint="eastAsia" w:ascii="宋体" w:hAnsi="宋体" w:eastAsia="宋体"/>
          <w:b/>
          <w:bCs/>
          <w:color w:val="000000" w:themeColor="text1"/>
          <w:sz w:val="24"/>
          <w:szCs w:val="24"/>
          <w:highlight w:val="none"/>
          <w14:textFill>
            <w14:solidFill>
              <w14:schemeClr w14:val="tx1"/>
            </w14:solidFill>
          </w14:textFill>
        </w:rPr>
        <w:t>位，小数点</w:t>
      </w:r>
      <w:r>
        <w:rPr>
          <w:rFonts w:ascii="宋体" w:hAnsi="宋体" w:eastAsia="宋体"/>
          <w:b/>
          <w:bCs/>
          <w:color w:val="000000" w:themeColor="text1"/>
          <w:sz w:val="24"/>
          <w:szCs w:val="24"/>
          <w:highlight w:val="none"/>
          <w14:textFill>
            <w14:solidFill>
              <w14:schemeClr w14:val="tx1"/>
            </w14:solidFill>
          </w14:textFill>
        </w:rPr>
        <w:t>2</w:t>
      </w:r>
      <w:r>
        <w:rPr>
          <w:rFonts w:hint="eastAsia" w:ascii="宋体" w:hAnsi="宋体" w:eastAsia="宋体"/>
          <w:b/>
          <w:bCs/>
          <w:color w:val="000000" w:themeColor="text1"/>
          <w:sz w:val="24"/>
          <w:szCs w:val="24"/>
          <w:highlight w:val="none"/>
          <w14:textFill>
            <w14:solidFill>
              <w14:schemeClr w14:val="tx1"/>
            </w14:solidFill>
          </w14:textFill>
        </w:rPr>
        <w:t>位以后</w:t>
      </w:r>
      <w:r>
        <w:rPr>
          <w:rFonts w:hint="eastAsia" w:ascii="宋体" w:hAnsi="宋体" w:eastAsia="宋体"/>
          <w:b/>
          <w:bCs/>
          <w:color w:val="000000" w:themeColor="text1"/>
          <w:sz w:val="24"/>
          <w:szCs w:val="24"/>
          <w:highlight w:val="none"/>
          <w:lang w:bidi="ar"/>
          <w14:textFill>
            <w14:solidFill>
              <w14:schemeClr w14:val="tx1"/>
            </w14:solidFill>
          </w14:textFill>
        </w:rPr>
        <w:t>四舍五入</w:t>
      </w:r>
      <w:r>
        <w:rPr>
          <w:rFonts w:hint="eastAsia" w:ascii="宋体" w:hAnsi="宋体" w:eastAsia="宋体"/>
          <w:b/>
          <w:bCs/>
          <w:color w:val="000000" w:themeColor="text1"/>
          <w:sz w:val="24"/>
          <w:szCs w:val="24"/>
          <w:highlight w:val="none"/>
          <w14:textFill>
            <w14:solidFill>
              <w14:schemeClr w14:val="tx1"/>
            </w14:solidFill>
          </w14:textFill>
        </w:rPr>
        <w:t>。根据计算方式得到的超额业绩报酬大于</w:t>
      </w:r>
      <w:r>
        <w:rPr>
          <w:rFonts w:ascii="宋体" w:hAnsi="宋体" w:eastAsia="宋体"/>
          <w:b/>
          <w:bCs/>
          <w:color w:val="000000" w:themeColor="text1"/>
          <w:sz w:val="24"/>
          <w:szCs w:val="24"/>
          <w:highlight w:val="none"/>
          <w14:textFill>
            <w14:solidFill>
              <w14:schemeClr w14:val="tx1"/>
            </w14:solidFill>
          </w14:textFill>
        </w:rPr>
        <w:t>0</w:t>
      </w:r>
      <w:r>
        <w:rPr>
          <w:rFonts w:hint="eastAsia" w:ascii="宋体" w:hAnsi="宋体" w:eastAsia="宋体"/>
          <w:b/>
          <w:bCs/>
          <w:color w:val="000000" w:themeColor="text1"/>
          <w:sz w:val="24"/>
          <w:szCs w:val="24"/>
          <w:highlight w:val="none"/>
          <w14:textFill>
            <w14:solidFill>
              <w14:schemeClr w14:val="tx1"/>
            </w14:solidFill>
          </w14:textFill>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b/>
          <w:bCs/>
          <w:color w:val="000000" w:themeColor="text1"/>
          <w:sz w:val="24"/>
          <w:szCs w:val="24"/>
          <w:highlight w:val="none"/>
          <w14:textFill>
            <w14:solidFill>
              <w14:schemeClr w14:val="tx1"/>
            </w14:solidFill>
          </w14:textFill>
        </w:rPr>
        <w:t>超额业绩报酬的计算方式为：</w:t>
      </w:r>
    </w:p>
    <w:p>
      <w:pPr>
        <w:spacing w:line="300" w:lineRule="auto"/>
        <w:ind w:firstLine="482" w:firstLineChars="200"/>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b/>
          <w:bCs/>
          <w:color w:val="000000" w:themeColor="text1"/>
          <w:sz w:val="24"/>
          <w:szCs w:val="24"/>
          <w:highlight w:val="none"/>
          <w14:textFill>
            <w14:solidFill>
              <w14:schemeClr w14:val="tx1"/>
            </w14:solidFill>
          </w14:textFill>
        </w:rPr>
        <w:t>各类份额年化的名义份额净值收益率超过相应份额的超额业绩报酬计提基准时，计提超出部分的</w:t>
      </w:r>
      <w:r>
        <w:rPr>
          <w:rFonts w:ascii="宋体" w:hAnsi="宋体" w:eastAsia="宋体"/>
          <w:b/>
          <w:bCs/>
          <w:color w:val="000000" w:themeColor="text1"/>
          <w:sz w:val="24"/>
          <w:szCs w:val="24"/>
          <w:highlight w:val="none"/>
          <w14:textFill>
            <w14:solidFill>
              <w14:schemeClr w14:val="tx1"/>
            </w14:solidFill>
          </w14:textFill>
        </w:rPr>
        <w:t>50%</w:t>
      </w:r>
      <w:r>
        <w:rPr>
          <w:rFonts w:hint="eastAsia" w:ascii="宋体" w:hAnsi="宋体" w:eastAsia="宋体"/>
          <w:b/>
          <w:bCs/>
          <w:color w:val="000000" w:themeColor="text1"/>
          <w:sz w:val="24"/>
          <w:szCs w:val="24"/>
          <w:highlight w:val="none"/>
          <w14:textFill>
            <w14:solidFill>
              <w14:schemeClr w14:val="tx1"/>
            </w14:solidFill>
          </w14:textFill>
        </w:rPr>
        <w:t>作为超额业绩报酬。计算公式如下：</w:t>
      </w:r>
    </w:p>
    <w:p>
      <w:pPr>
        <w:spacing w:line="300" w:lineRule="auto"/>
        <w:ind w:firstLine="482" w:firstLineChars="200"/>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b/>
          <w:bCs/>
          <w:color w:val="000000" w:themeColor="text1"/>
          <w:sz w:val="24"/>
          <w:szCs w:val="24"/>
          <w:highlight w:val="none"/>
          <w14:textFill>
            <w14:solidFill>
              <w14:schemeClr w14:val="tx1"/>
            </w14:solidFill>
          </w14:textFill>
        </w:rPr>
        <w:t>各类份额计提评价日应计提的超额业绩报酬</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相应份额名义份额净值收益率</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相应份额超额业绩报酬计提基准×区间天数÷</w:t>
      </w:r>
      <w:r>
        <w:rPr>
          <w:rFonts w:ascii="宋体" w:hAnsi="宋体" w:eastAsia="宋体"/>
          <w:b/>
          <w:bCs/>
          <w:color w:val="000000" w:themeColor="text1"/>
          <w:sz w:val="24"/>
          <w:szCs w:val="24"/>
          <w:highlight w:val="none"/>
          <w14:textFill>
            <w14:solidFill>
              <w14:schemeClr w14:val="tx1"/>
            </w14:solidFill>
          </w14:textFill>
        </w:rPr>
        <w:t>365</w:t>
      </w:r>
      <w:r>
        <w:rPr>
          <w:rFonts w:hint="eastAsia" w:ascii="宋体" w:hAnsi="宋体" w:eastAsia="宋体"/>
          <w:b/>
          <w:bCs/>
          <w:color w:val="000000" w:themeColor="text1"/>
          <w:sz w:val="24"/>
          <w:szCs w:val="24"/>
          <w:highlight w:val="none"/>
          <w14:textFill>
            <w14:solidFill>
              <w14:schemeClr w14:val="tx1"/>
            </w14:solidFill>
          </w14:textFill>
        </w:rPr>
        <w:t>）×理财产品计提评价日的相应份额的总份额×</w:t>
      </w:r>
      <w:r>
        <w:rPr>
          <w:rFonts w:ascii="宋体" w:hAnsi="宋体" w:eastAsia="宋体"/>
          <w:b/>
          <w:bCs/>
          <w:color w:val="000000" w:themeColor="text1"/>
          <w:sz w:val="24"/>
          <w:szCs w:val="24"/>
          <w:highlight w:val="none"/>
          <w14:textFill>
            <w14:solidFill>
              <w14:schemeClr w14:val="tx1"/>
            </w14:solidFill>
          </w14:textFill>
        </w:rPr>
        <w:t>50%</w:t>
      </w:r>
      <w:r>
        <w:rPr>
          <w:rFonts w:hint="eastAsia" w:ascii="宋体" w:hAnsi="宋体" w:eastAsia="宋体"/>
          <w:b/>
          <w:bCs/>
          <w:color w:val="000000" w:themeColor="text1"/>
          <w:sz w:val="24"/>
          <w:szCs w:val="24"/>
          <w:highlight w:val="none"/>
          <w14:textFill>
            <w14:solidFill>
              <w14:schemeClr w14:val="tx1"/>
            </w14:solidFill>
          </w14:textFill>
        </w:rPr>
        <w:t>，其中，相应份额名义份额净值收益率</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（该计提评价日的理财产品相应份额的累计份额净值</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相应份额的资产净值</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相应份额的总份额</w:t>
      </w:r>
      <w:r>
        <w:rPr>
          <w:rFonts w:ascii="宋体" w:hAnsi="宋体" w:eastAsia="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14:textFill>
            <w14:solidFill>
              <w14:schemeClr w14:val="tx1"/>
            </w14:solidFill>
          </w14:textFill>
        </w:rPr>
        <w:t>产品成立以来相应份额累计单位分红金额。相应份额的累计份额净值四舍五入保留</w:t>
      </w:r>
      <w:r>
        <w:rPr>
          <w:rFonts w:ascii="宋体" w:hAnsi="宋体" w:eastAsia="宋体"/>
          <w:b/>
          <w:bCs/>
          <w:color w:val="000000" w:themeColor="text1"/>
          <w:sz w:val="24"/>
          <w:szCs w:val="24"/>
          <w:highlight w:val="none"/>
          <w14:textFill>
            <w14:solidFill>
              <w14:schemeClr w14:val="tx1"/>
            </w14:solidFill>
          </w14:textFill>
        </w:rPr>
        <w:t>6</w:t>
      </w:r>
      <w:r>
        <w:rPr>
          <w:rFonts w:hint="eastAsia" w:ascii="宋体" w:hAnsi="宋体" w:eastAsia="宋体"/>
          <w:b/>
          <w:bCs/>
          <w:color w:val="000000" w:themeColor="text1"/>
          <w:sz w:val="24"/>
          <w:szCs w:val="24"/>
          <w:highlight w:val="none"/>
          <w14:textFill>
            <w14:solidFill>
              <w14:schemeClr w14:val="tx1"/>
            </w14:solidFill>
          </w14:textFill>
        </w:rPr>
        <w:t>位小数。</w:t>
      </w:r>
    </w:p>
    <w:p>
      <w:pPr>
        <w:spacing w:line="300" w:lineRule="auto"/>
        <w:ind w:firstLine="482" w:firstLineChars="200"/>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b/>
          <w:bCs/>
          <w:color w:val="000000" w:themeColor="text1"/>
          <w:sz w:val="24"/>
          <w:szCs w:val="24"/>
          <w:highlight w:val="none"/>
          <w14:textFill>
            <w14:solidFill>
              <w14:schemeClr w14:val="tx1"/>
            </w14:solidFill>
          </w14:textFill>
        </w:rPr>
        <w:t>本理财产品收取的超额业绩报酬为各类份额超额业绩报酬的总和。</w:t>
      </w:r>
    </w:p>
    <w:p>
      <w:pPr>
        <w:spacing w:line="300" w:lineRule="auto"/>
        <w:ind w:firstLine="482" w:firstLineChars="200"/>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b/>
          <w:bCs/>
          <w:color w:val="000000" w:themeColor="text1"/>
          <w:sz w:val="24"/>
          <w:szCs w:val="24"/>
          <w:highlight w:val="none"/>
          <w14:textFill>
            <w14:solidFill>
              <w14:schemeClr w14:val="tx1"/>
            </w14:solidFill>
          </w14:textFill>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b/>
          <w:bCs/>
          <w:color w:val="000000" w:themeColor="text1"/>
          <w:sz w:val="24"/>
          <w:szCs w:val="24"/>
          <w:highlight w:val="none"/>
          <w14:textFill>
            <w14:solidFill>
              <w14:schemeClr w14:val="tx1"/>
            </w14:solidFill>
          </w14:textFill>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，地址为天津市海河东路218号渤海银行大厦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sz w:val="24"/>
          <w:szCs w:val="24"/>
          <w:highlight w:val="none"/>
        </w:rPr>
      </w:pPr>
      <w:r>
        <w:rPr>
          <w:rFonts w:hint="eastAsia" w:ascii="宋体" w:hAnsi="宋体" w:eastAsia="宋体"/>
          <w:b/>
          <w:bCs/>
          <w:sz w:val="24"/>
          <w:szCs w:val="24"/>
          <w:highlight w:val="none"/>
        </w:rPr>
        <w:t>（三）销售服务机构</w:t>
      </w:r>
      <w:bookmarkStart w:id="1" w:name="_Hlk136876402"/>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盛京</w:t>
      </w:r>
      <w:r>
        <w:rPr>
          <w:rFonts w:hint="eastAsia" w:ascii="宋体" w:hAnsi="宋体" w:eastAsia="宋体"/>
          <w:sz w:val="24"/>
          <w:szCs w:val="24"/>
          <w:highlight w:val="none"/>
        </w:rPr>
        <w:t>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rPr>
        <w:t>住所</w:t>
      </w:r>
      <w:r>
        <w:rPr>
          <w:rFonts w:hint="eastAsia" w:ascii="宋体" w:hAnsi="宋体" w:eastAsia="宋体"/>
          <w:sz w:val="24"/>
          <w:szCs w:val="24"/>
        </w:rPr>
        <w:t>：</w:t>
      </w:r>
      <w:r>
        <w:rPr>
          <w:rFonts w:hint="eastAsia" w:ascii="宋体" w:hAnsi="宋体" w:eastAsia="宋体"/>
          <w:sz w:val="24"/>
          <w:szCs w:val="24"/>
          <w:highlight w:val="none"/>
          <w:lang w:val="en-US" w:eastAsia="zh-CN"/>
        </w:rPr>
        <w:t>沈阳市沈河区北站路109号</w:t>
      </w:r>
      <w:r>
        <w:rPr>
          <w:rFonts w:hint="eastAsia" w:ascii="宋体" w:hAnsi="宋体" w:eastAsia="宋体"/>
          <w:sz w:val="24"/>
          <w:szCs w:val="24"/>
          <w:highlight w:val="none"/>
        </w:rPr>
        <w:t>，客户服务热线：</w:t>
      </w:r>
      <w:r>
        <w:rPr>
          <w:rFonts w:hint="eastAsia" w:ascii="宋体" w:hAnsi="宋体" w:eastAsia="宋体"/>
          <w:sz w:val="24"/>
          <w:szCs w:val="24"/>
          <w:highlight w:val="none"/>
          <w:lang w:val="en-US" w:eastAsia="zh-CN"/>
        </w:rPr>
        <w:t>95337</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盛京</w:t>
      </w:r>
      <w:r>
        <w:rPr>
          <w:rFonts w:hint="eastAsia" w:ascii="宋体" w:hAnsi="宋体" w:eastAsia="宋体"/>
          <w:sz w:val="24"/>
          <w:szCs w:val="24"/>
          <w:highlight w:val="none"/>
        </w:rPr>
        <w:t>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rPr>
        <w:t>住所</w:t>
      </w:r>
      <w:r>
        <w:rPr>
          <w:rFonts w:hint="eastAsia" w:ascii="宋体" w:hAnsi="宋体" w:eastAsia="宋体"/>
          <w:sz w:val="24"/>
          <w:szCs w:val="24"/>
        </w:rPr>
        <w:t>：</w:t>
      </w:r>
      <w:r>
        <w:rPr>
          <w:rFonts w:hint="eastAsia" w:ascii="宋体" w:hAnsi="宋体" w:eastAsia="宋体"/>
          <w:sz w:val="24"/>
          <w:szCs w:val="24"/>
          <w:highlight w:val="none"/>
          <w:lang w:val="en-US" w:eastAsia="zh-CN"/>
        </w:rPr>
        <w:t>沈阳市沈河区北站路109号</w:t>
      </w:r>
      <w:r>
        <w:rPr>
          <w:rFonts w:hint="eastAsia" w:ascii="宋体" w:hAnsi="宋体" w:eastAsia="宋体"/>
          <w:sz w:val="24"/>
          <w:szCs w:val="24"/>
          <w:highlight w:val="none"/>
        </w:rPr>
        <w:t>，客户服务热线：</w:t>
      </w:r>
      <w:r>
        <w:rPr>
          <w:rFonts w:hint="eastAsia" w:ascii="宋体" w:hAnsi="宋体" w:eastAsia="宋体"/>
          <w:sz w:val="24"/>
          <w:szCs w:val="24"/>
          <w:highlight w:val="none"/>
          <w:lang w:val="en-US" w:eastAsia="zh-CN"/>
        </w:rPr>
        <w:t>95337</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color w:val="000000" w:themeColor="text1"/>
          <w:sz w:val="24"/>
          <w:szCs w:val="24"/>
          <w:lang w:eastAsia="zh-CN"/>
          <w14:textFill>
            <w14:solidFill>
              <w14:schemeClr w14:val="tx1"/>
            </w14:solidFill>
          </w14:textFill>
        </w:rPr>
      </w:pPr>
      <w:r>
        <w:rPr>
          <w:rFonts w:hint="eastAsia" w:ascii="宋体" w:hAnsi="宋体" w:eastAsia="宋体"/>
          <w:color w:val="000000" w:themeColor="text1"/>
          <w:sz w:val="24"/>
          <w:szCs w:val="24"/>
          <w:highlight w:val="none"/>
          <w14:textFill>
            <w14:solidFill>
              <w14:schemeClr w14:val="tx1"/>
            </w14:solidFill>
          </w14:textFill>
        </w:rPr>
        <w:t>温州银行股份有限公司</w:t>
      </w:r>
      <w:r>
        <w:rPr>
          <w:rFonts w:hint="eastAsia" w:ascii="宋体" w:hAnsi="宋体" w:eastAsia="宋体"/>
          <w:color w:val="000000" w:themeColor="text1"/>
          <w:sz w:val="24"/>
          <w:szCs w:val="24"/>
          <w:highlight w:val="none"/>
          <w:lang w:eastAsia="zh-CN"/>
          <w14:textFill>
            <w14:solidFill>
              <w14:schemeClr w14:val="tx1"/>
            </w14:solidFill>
          </w14:textFill>
        </w:rPr>
        <w:t>，</w:t>
      </w:r>
      <w:r>
        <w:rPr>
          <w:rFonts w:hint="eastAsia" w:ascii="宋体" w:hAnsi="宋体" w:eastAsia="宋体"/>
          <w:color w:val="000000" w:themeColor="text1"/>
          <w:sz w:val="24"/>
          <w:szCs w:val="24"/>
          <w14:textFill>
            <w14:solidFill>
              <w14:schemeClr w14:val="tx1"/>
            </w14:solidFill>
          </w14:textFill>
        </w:rPr>
        <w:t>住所：浙江省温州市鹿城区会展路1316号</w:t>
      </w:r>
      <w:r>
        <w:rPr>
          <w:rFonts w:hint="eastAsia" w:ascii="宋体" w:hAnsi="宋体" w:eastAsia="宋体"/>
          <w:color w:val="000000" w:themeColor="text1"/>
          <w:sz w:val="24"/>
          <w:szCs w:val="24"/>
          <w:lang w:eastAsia="zh-CN"/>
          <w14:textFill>
            <w14:solidFill>
              <w14:schemeClr w14:val="tx1"/>
            </w14:solidFill>
          </w14:textFill>
        </w:rPr>
        <w:t>，</w:t>
      </w:r>
      <w:r>
        <w:rPr>
          <w:rFonts w:ascii="宋体" w:hAnsi="宋体" w:eastAsia="宋体"/>
          <w:color w:val="000000" w:themeColor="text1"/>
          <w:sz w:val="24"/>
          <w:szCs w:val="24"/>
          <w14:textFill>
            <w14:solidFill>
              <w14:schemeClr w14:val="tx1"/>
            </w14:solidFill>
          </w14:textFill>
        </w:rPr>
        <w:t>客户服务热线</w:t>
      </w:r>
      <w:r>
        <w:rPr>
          <w:rFonts w:hint="eastAsia" w:ascii="宋体" w:hAnsi="宋体" w:eastAsia="宋体"/>
          <w:color w:val="000000" w:themeColor="text1"/>
          <w:sz w:val="24"/>
          <w:szCs w:val="24"/>
          <w14:textFill>
            <w14:solidFill>
              <w14:schemeClr w14:val="tx1"/>
            </w14:solidFill>
          </w14:textFill>
        </w:rPr>
        <w:t>：0577-96699</w:t>
      </w:r>
      <w:r>
        <w:rPr>
          <w:rFonts w:hint="eastAsia" w:ascii="宋体" w:hAnsi="宋体" w:eastAsia="宋体"/>
          <w:color w:val="000000" w:themeColor="text1"/>
          <w:sz w:val="24"/>
          <w:szCs w:val="24"/>
          <w:lang w:eastAsia="zh-CN"/>
          <w14:textFill>
            <w14:solidFill>
              <w14:schemeClr w14:val="tx1"/>
            </w14:solidFill>
          </w14:textFill>
        </w:rPr>
        <w:t>。</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ACE9D644"/>
    <w:multiLevelType w:val="singleLevel"/>
    <w:tmpl w:val="ACE9D644"/>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1"/>
  </w:num>
  <w:num w:numId="7">
    <w:abstractNumId w:val="0"/>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165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71587"/>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3A07AC"/>
    <w:rsid w:val="018E0242"/>
    <w:rsid w:val="01CC68D5"/>
    <w:rsid w:val="01FE3350"/>
    <w:rsid w:val="01FE50BC"/>
    <w:rsid w:val="02300265"/>
    <w:rsid w:val="02377367"/>
    <w:rsid w:val="0240285E"/>
    <w:rsid w:val="02536EB3"/>
    <w:rsid w:val="027628C1"/>
    <w:rsid w:val="02CD4500"/>
    <w:rsid w:val="02E65CAB"/>
    <w:rsid w:val="02F740BE"/>
    <w:rsid w:val="03136847"/>
    <w:rsid w:val="032125FF"/>
    <w:rsid w:val="032E18D0"/>
    <w:rsid w:val="033011B9"/>
    <w:rsid w:val="03542B62"/>
    <w:rsid w:val="0374404F"/>
    <w:rsid w:val="03993696"/>
    <w:rsid w:val="03A34738"/>
    <w:rsid w:val="03D6609D"/>
    <w:rsid w:val="041C0CB1"/>
    <w:rsid w:val="04437A77"/>
    <w:rsid w:val="04E93371"/>
    <w:rsid w:val="05181349"/>
    <w:rsid w:val="055B7332"/>
    <w:rsid w:val="056A798D"/>
    <w:rsid w:val="056F50C1"/>
    <w:rsid w:val="059A230B"/>
    <w:rsid w:val="05AF7B68"/>
    <w:rsid w:val="05BE29A4"/>
    <w:rsid w:val="05F00BCD"/>
    <w:rsid w:val="06035414"/>
    <w:rsid w:val="06040F9A"/>
    <w:rsid w:val="06170810"/>
    <w:rsid w:val="0622594A"/>
    <w:rsid w:val="06262087"/>
    <w:rsid w:val="062B4B0A"/>
    <w:rsid w:val="063C3FE7"/>
    <w:rsid w:val="066B5F00"/>
    <w:rsid w:val="0675224B"/>
    <w:rsid w:val="067B28EF"/>
    <w:rsid w:val="067E3EB5"/>
    <w:rsid w:val="06C47150"/>
    <w:rsid w:val="06CD4B74"/>
    <w:rsid w:val="06F46394"/>
    <w:rsid w:val="07156326"/>
    <w:rsid w:val="072314C0"/>
    <w:rsid w:val="074D4BD8"/>
    <w:rsid w:val="077547A1"/>
    <w:rsid w:val="078411C8"/>
    <w:rsid w:val="079C2B48"/>
    <w:rsid w:val="079E00C6"/>
    <w:rsid w:val="07A42E2C"/>
    <w:rsid w:val="07B363A1"/>
    <w:rsid w:val="07EC3E77"/>
    <w:rsid w:val="07ED7261"/>
    <w:rsid w:val="087D641E"/>
    <w:rsid w:val="08A07369"/>
    <w:rsid w:val="08D67DE6"/>
    <w:rsid w:val="091B36AE"/>
    <w:rsid w:val="09744787"/>
    <w:rsid w:val="098C148C"/>
    <w:rsid w:val="09EA1F2A"/>
    <w:rsid w:val="0A0134D2"/>
    <w:rsid w:val="0A2850F6"/>
    <w:rsid w:val="0A4A3AE2"/>
    <w:rsid w:val="0A614D25"/>
    <w:rsid w:val="0A6B190B"/>
    <w:rsid w:val="0A9C5B25"/>
    <w:rsid w:val="0AB94BBF"/>
    <w:rsid w:val="0AC35E88"/>
    <w:rsid w:val="0B3B3C49"/>
    <w:rsid w:val="0B552CB2"/>
    <w:rsid w:val="0B66661D"/>
    <w:rsid w:val="0B7877C8"/>
    <w:rsid w:val="0B8F4228"/>
    <w:rsid w:val="0BC62F1C"/>
    <w:rsid w:val="0BE97A81"/>
    <w:rsid w:val="0C576560"/>
    <w:rsid w:val="0C933759"/>
    <w:rsid w:val="0CB3034F"/>
    <w:rsid w:val="0CD90C90"/>
    <w:rsid w:val="0CEA7A5E"/>
    <w:rsid w:val="0CFA7766"/>
    <w:rsid w:val="0D4E6348"/>
    <w:rsid w:val="0D5C13CD"/>
    <w:rsid w:val="0D9E5BE6"/>
    <w:rsid w:val="0DAF2FB0"/>
    <w:rsid w:val="0DE03441"/>
    <w:rsid w:val="0E0A391B"/>
    <w:rsid w:val="0E9A3E88"/>
    <w:rsid w:val="0ECC0D8A"/>
    <w:rsid w:val="0EE70D61"/>
    <w:rsid w:val="0EFE798E"/>
    <w:rsid w:val="0F6012E0"/>
    <w:rsid w:val="0F631318"/>
    <w:rsid w:val="0FA5251B"/>
    <w:rsid w:val="0FB60F8D"/>
    <w:rsid w:val="0FB8513C"/>
    <w:rsid w:val="0FBA092F"/>
    <w:rsid w:val="0FBC7FE4"/>
    <w:rsid w:val="10115E69"/>
    <w:rsid w:val="101211F8"/>
    <w:rsid w:val="103E6C0E"/>
    <w:rsid w:val="106B20EB"/>
    <w:rsid w:val="108D4479"/>
    <w:rsid w:val="10AD75EF"/>
    <w:rsid w:val="10F42301"/>
    <w:rsid w:val="11065D2C"/>
    <w:rsid w:val="1150266C"/>
    <w:rsid w:val="117F0BB7"/>
    <w:rsid w:val="118D5786"/>
    <w:rsid w:val="11D26A85"/>
    <w:rsid w:val="12527021"/>
    <w:rsid w:val="126A20AC"/>
    <w:rsid w:val="12907E1F"/>
    <w:rsid w:val="12B0422E"/>
    <w:rsid w:val="12D07CBD"/>
    <w:rsid w:val="12F03A8D"/>
    <w:rsid w:val="12FB1F1C"/>
    <w:rsid w:val="137230C9"/>
    <w:rsid w:val="137B6010"/>
    <w:rsid w:val="13CD4BF1"/>
    <w:rsid w:val="13F34CA7"/>
    <w:rsid w:val="14087139"/>
    <w:rsid w:val="14391C5C"/>
    <w:rsid w:val="14694151"/>
    <w:rsid w:val="14864269"/>
    <w:rsid w:val="149013EC"/>
    <w:rsid w:val="14D0385F"/>
    <w:rsid w:val="152A2FC9"/>
    <w:rsid w:val="152E38AF"/>
    <w:rsid w:val="153D6DEC"/>
    <w:rsid w:val="15505B8F"/>
    <w:rsid w:val="159609B1"/>
    <w:rsid w:val="159E5897"/>
    <w:rsid w:val="16030202"/>
    <w:rsid w:val="16126D17"/>
    <w:rsid w:val="161271C4"/>
    <w:rsid w:val="16155210"/>
    <w:rsid w:val="1617420C"/>
    <w:rsid w:val="163070EE"/>
    <w:rsid w:val="16362C2D"/>
    <w:rsid w:val="164A5F12"/>
    <w:rsid w:val="167A67DF"/>
    <w:rsid w:val="169D49D1"/>
    <w:rsid w:val="16F53929"/>
    <w:rsid w:val="176F4079"/>
    <w:rsid w:val="177F4193"/>
    <w:rsid w:val="184A069F"/>
    <w:rsid w:val="186E5D8B"/>
    <w:rsid w:val="188075F1"/>
    <w:rsid w:val="18BC72C8"/>
    <w:rsid w:val="18F60A16"/>
    <w:rsid w:val="19406BCA"/>
    <w:rsid w:val="194A19B6"/>
    <w:rsid w:val="197A67CD"/>
    <w:rsid w:val="19CE54BD"/>
    <w:rsid w:val="19F81BC6"/>
    <w:rsid w:val="1A5B3DAB"/>
    <w:rsid w:val="1AF12911"/>
    <w:rsid w:val="1B4936D1"/>
    <w:rsid w:val="1BA71B66"/>
    <w:rsid w:val="1C2C60FF"/>
    <w:rsid w:val="1C3950EF"/>
    <w:rsid w:val="1C516DE1"/>
    <w:rsid w:val="1C9F368B"/>
    <w:rsid w:val="1CDA00B0"/>
    <w:rsid w:val="1D1539F9"/>
    <w:rsid w:val="1D3E52D1"/>
    <w:rsid w:val="1D3F2331"/>
    <w:rsid w:val="1D60611F"/>
    <w:rsid w:val="1D6853F0"/>
    <w:rsid w:val="1D6B54AE"/>
    <w:rsid w:val="1DDD42E3"/>
    <w:rsid w:val="1DE47FE4"/>
    <w:rsid w:val="1E030DC8"/>
    <w:rsid w:val="1E352383"/>
    <w:rsid w:val="1E413716"/>
    <w:rsid w:val="1E4D0380"/>
    <w:rsid w:val="1E521BF4"/>
    <w:rsid w:val="1E7F4E7D"/>
    <w:rsid w:val="1EBD2500"/>
    <w:rsid w:val="1EC134B1"/>
    <w:rsid w:val="1F472A93"/>
    <w:rsid w:val="1FA649E9"/>
    <w:rsid w:val="1FD51345"/>
    <w:rsid w:val="1FF47788"/>
    <w:rsid w:val="2060339D"/>
    <w:rsid w:val="206904BF"/>
    <w:rsid w:val="20A43FFB"/>
    <w:rsid w:val="210B020D"/>
    <w:rsid w:val="21264EDF"/>
    <w:rsid w:val="21637056"/>
    <w:rsid w:val="218C3503"/>
    <w:rsid w:val="21A842C7"/>
    <w:rsid w:val="21B948C1"/>
    <w:rsid w:val="21C959D5"/>
    <w:rsid w:val="21EB48C3"/>
    <w:rsid w:val="223A7063"/>
    <w:rsid w:val="22405BA0"/>
    <w:rsid w:val="2252490D"/>
    <w:rsid w:val="227809D0"/>
    <w:rsid w:val="2293195D"/>
    <w:rsid w:val="22D44351"/>
    <w:rsid w:val="2308324D"/>
    <w:rsid w:val="23361551"/>
    <w:rsid w:val="23366094"/>
    <w:rsid w:val="23553444"/>
    <w:rsid w:val="23D47726"/>
    <w:rsid w:val="23E33E97"/>
    <w:rsid w:val="23EB7086"/>
    <w:rsid w:val="23EF74E8"/>
    <w:rsid w:val="245A4B65"/>
    <w:rsid w:val="24A3232E"/>
    <w:rsid w:val="24BE3EE7"/>
    <w:rsid w:val="24EE7E46"/>
    <w:rsid w:val="250E59A5"/>
    <w:rsid w:val="2540053D"/>
    <w:rsid w:val="25572EC0"/>
    <w:rsid w:val="25583F8F"/>
    <w:rsid w:val="255D565D"/>
    <w:rsid w:val="25942A0A"/>
    <w:rsid w:val="25B2644E"/>
    <w:rsid w:val="25BE790E"/>
    <w:rsid w:val="25CF5599"/>
    <w:rsid w:val="260B5408"/>
    <w:rsid w:val="26596DA2"/>
    <w:rsid w:val="26993D60"/>
    <w:rsid w:val="27055672"/>
    <w:rsid w:val="276D47EC"/>
    <w:rsid w:val="27A53E9F"/>
    <w:rsid w:val="27AE3794"/>
    <w:rsid w:val="27FB0559"/>
    <w:rsid w:val="28662B70"/>
    <w:rsid w:val="293911B4"/>
    <w:rsid w:val="296C6E71"/>
    <w:rsid w:val="298D1D5A"/>
    <w:rsid w:val="29A55AC6"/>
    <w:rsid w:val="2A102E33"/>
    <w:rsid w:val="2A14318A"/>
    <w:rsid w:val="2A5F6341"/>
    <w:rsid w:val="2A725463"/>
    <w:rsid w:val="2A903B65"/>
    <w:rsid w:val="2AE835BC"/>
    <w:rsid w:val="2B2A10A1"/>
    <w:rsid w:val="2B4F3A96"/>
    <w:rsid w:val="2B967293"/>
    <w:rsid w:val="2C234E8A"/>
    <w:rsid w:val="2C763105"/>
    <w:rsid w:val="2C871C77"/>
    <w:rsid w:val="2C934F3A"/>
    <w:rsid w:val="2C9D73E4"/>
    <w:rsid w:val="2CA32A24"/>
    <w:rsid w:val="2CD4437F"/>
    <w:rsid w:val="2CDC37A2"/>
    <w:rsid w:val="2CE0580D"/>
    <w:rsid w:val="2D261C03"/>
    <w:rsid w:val="2D2E2357"/>
    <w:rsid w:val="2D5C6165"/>
    <w:rsid w:val="2D95431B"/>
    <w:rsid w:val="2D9D23B7"/>
    <w:rsid w:val="2DA53D49"/>
    <w:rsid w:val="2DDD46D7"/>
    <w:rsid w:val="2DE64940"/>
    <w:rsid w:val="2E0715EA"/>
    <w:rsid w:val="2E710F25"/>
    <w:rsid w:val="2E7C3A67"/>
    <w:rsid w:val="2E7E4C90"/>
    <w:rsid w:val="2F43443B"/>
    <w:rsid w:val="2F504A9E"/>
    <w:rsid w:val="2F717EA7"/>
    <w:rsid w:val="2F7C1090"/>
    <w:rsid w:val="2FB0199E"/>
    <w:rsid w:val="2FBF6F5E"/>
    <w:rsid w:val="3009689E"/>
    <w:rsid w:val="303E1558"/>
    <w:rsid w:val="305B3C7D"/>
    <w:rsid w:val="306A79DD"/>
    <w:rsid w:val="30704164"/>
    <w:rsid w:val="30820253"/>
    <w:rsid w:val="30A0380E"/>
    <w:rsid w:val="30C21AC9"/>
    <w:rsid w:val="30E54651"/>
    <w:rsid w:val="313633F3"/>
    <w:rsid w:val="313F2733"/>
    <w:rsid w:val="314544DD"/>
    <w:rsid w:val="314A3D5B"/>
    <w:rsid w:val="316B25B6"/>
    <w:rsid w:val="31855E3D"/>
    <w:rsid w:val="31911E35"/>
    <w:rsid w:val="31927D00"/>
    <w:rsid w:val="319C4144"/>
    <w:rsid w:val="32536E98"/>
    <w:rsid w:val="325D5888"/>
    <w:rsid w:val="32682EC7"/>
    <w:rsid w:val="32B80440"/>
    <w:rsid w:val="32D13F91"/>
    <w:rsid w:val="32DE42FD"/>
    <w:rsid w:val="32FD0562"/>
    <w:rsid w:val="3332690B"/>
    <w:rsid w:val="334457E6"/>
    <w:rsid w:val="33954FD7"/>
    <w:rsid w:val="340D04DF"/>
    <w:rsid w:val="346567A0"/>
    <w:rsid w:val="34982340"/>
    <w:rsid w:val="34BA214A"/>
    <w:rsid w:val="34C14B9E"/>
    <w:rsid w:val="34D96E0E"/>
    <w:rsid w:val="34DB4FDC"/>
    <w:rsid w:val="34E058A4"/>
    <w:rsid w:val="3517466A"/>
    <w:rsid w:val="3541567F"/>
    <w:rsid w:val="35561891"/>
    <w:rsid w:val="35A14736"/>
    <w:rsid w:val="35C42453"/>
    <w:rsid w:val="360A14DF"/>
    <w:rsid w:val="3649547D"/>
    <w:rsid w:val="366F00B5"/>
    <w:rsid w:val="36745C03"/>
    <w:rsid w:val="36BD4AB8"/>
    <w:rsid w:val="36ED3C18"/>
    <w:rsid w:val="37452552"/>
    <w:rsid w:val="37492D4C"/>
    <w:rsid w:val="37CF70A9"/>
    <w:rsid w:val="380776D4"/>
    <w:rsid w:val="38B707F1"/>
    <w:rsid w:val="39225556"/>
    <w:rsid w:val="39267194"/>
    <w:rsid w:val="396341AB"/>
    <w:rsid w:val="397B630A"/>
    <w:rsid w:val="39897BF7"/>
    <w:rsid w:val="399E1441"/>
    <w:rsid w:val="39B80A1E"/>
    <w:rsid w:val="39CB465D"/>
    <w:rsid w:val="39D22E88"/>
    <w:rsid w:val="39F05D3A"/>
    <w:rsid w:val="3A13730E"/>
    <w:rsid w:val="3A2200A7"/>
    <w:rsid w:val="3A6A4F48"/>
    <w:rsid w:val="3AD16475"/>
    <w:rsid w:val="3AE81C1E"/>
    <w:rsid w:val="3AF74B45"/>
    <w:rsid w:val="3BB6395F"/>
    <w:rsid w:val="3C205928"/>
    <w:rsid w:val="3C27601C"/>
    <w:rsid w:val="3C387D98"/>
    <w:rsid w:val="3C3A2232"/>
    <w:rsid w:val="3C540446"/>
    <w:rsid w:val="3C580DD8"/>
    <w:rsid w:val="3CBF57D4"/>
    <w:rsid w:val="3CEE5D90"/>
    <w:rsid w:val="3D2A07D7"/>
    <w:rsid w:val="3D742A64"/>
    <w:rsid w:val="3D8E5F6C"/>
    <w:rsid w:val="3DC9235F"/>
    <w:rsid w:val="3DE5343E"/>
    <w:rsid w:val="3E045955"/>
    <w:rsid w:val="3E1467D6"/>
    <w:rsid w:val="3E2928AA"/>
    <w:rsid w:val="3E4B0558"/>
    <w:rsid w:val="3E7C30D1"/>
    <w:rsid w:val="3EC373AA"/>
    <w:rsid w:val="3ED0655E"/>
    <w:rsid w:val="4036451C"/>
    <w:rsid w:val="404D3345"/>
    <w:rsid w:val="405139D2"/>
    <w:rsid w:val="40774519"/>
    <w:rsid w:val="40D84475"/>
    <w:rsid w:val="40ED6EDE"/>
    <w:rsid w:val="41291148"/>
    <w:rsid w:val="41451DE3"/>
    <w:rsid w:val="421C341D"/>
    <w:rsid w:val="4226002E"/>
    <w:rsid w:val="4248650C"/>
    <w:rsid w:val="425101DD"/>
    <w:rsid w:val="425813A7"/>
    <w:rsid w:val="425E3CE6"/>
    <w:rsid w:val="42662B39"/>
    <w:rsid w:val="4284059C"/>
    <w:rsid w:val="42E2671F"/>
    <w:rsid w:val="42EB1794"/>
    <w:rsid w:val="432A038A"/>
    <w:rsid w:val="43312EC1"/>
    <w:rsid w:val="43B006A9"/>
    <w:rsid w:val="43F51823"/>
    <w:rsid w:val="44673A6C"/>
    <w:rsid w:val="44727382"/>
    <w:rsid w:val="4488447C"/>
    <w:rsid w:val="449F4C8A"/>
    <w:rsid w:val="44E05F8D"/>
    <w:rsid w:val="45A81610"/>
    <w:rsid w:val="45F86314"/>
    <w:rsid w:val="463D1398"/>
    <w:rsid w:val="463D487E"/>
    <w:rsid w:val="46467996"/>
    <w:rsid w:val="46543001"/>
    <w:rsid w:val="467A71E9"/>
    <w:rsid w:val="46AE36CC"/>
    <w:rsid w:val="46B03B70"/>
    <w:rsid w:val="46CD5B27"/>
    <w:rsid w:val="470F21C0"/>
    <w:rsid w:val="4714656C"/>
    <w:rsid w:val="47247B03"/>
    <w:rsid w:val="472D4AE4"/>
    <w:rsid w:val="475A0E25"/>
    <w:rsid w:val="477433AA"/>
    <w:rsid w:val="47867564"/>
    <w:rsid w:val="47874310"/>
    <w:rsid w:val="47A00503"/>
    <w:rsid w:val="47B13336"/>
    <w:rsid w:val="47D21439"/>
    <w:rsid w:val="47EC2593"/>
    <w:rsid w:val="481D7858"/>
    <w:rsid w:val="4844501C"/>
    <w:rsid w:val="487D0486"/>
    <w:rsid w:val="487E6827"/>
    <w:rsid w:val="488D1BB3"/>
    <w:rsid w:val="489F3B56"/>
    <w:rsid w:val="48D55C81"/>
    <w:rsid w:val="48D65DAE"/>
    <w:rsid w:val="48E92B91"/>
    <w:rsid w:val="491F590E"/>
    <w:rsid w:val="49493CCA"/>
    <w:rsid w:val="49B56187"/>
    <w:rsid w:val="49C87B61"/>
    <w:rsid w:val="49E60E5D"/>
    <w:rsid w:val="4A1909A0"/>
    <w:rsid w:val="4A280604"/>
    <w:rsid w:val="4A874B09"/>
    <w:rsid w:val="4AA8729E"/>
    <w:rsid w:val="4AF56EC6"/>
    <w:rsid w:val="4B4C02ED"/>
    <w:rsid w:val="4B777293"/>
    <w:rsid w:val="4BE618E3"/>
    <w:rsid w:val="4BEE44F2"/>
    <w:rsid w:val="4BF547E4"/>
    <w:rsid w:val="4C452A2E"/>
    <w:rsid w:val="4C70693C"/>
    <w:rsid w:val="4C8537C9"/>
    <w:rsid w:val="4C957E34"/>
    <w:rsid w:val="4C9C21E9"/>
    <w:rsid w:val="4CA73341"/>
    <w:rsid w:val="4CA74208"/>
    <w:rsid w:val="4CAE6E7D"/>
    <w:rsid w:val="4CC70070"/>
    <w:rsid w:val="4CF66DE9"/>
    <w:rsid w:val="4CFD5365"/>
    <w:rsid w:val="4D0B1526"/>
    <w:rsid w:val="4D234ECE"/>
    <w:rsid w:val="4D5B555E"/>
    <w:rsid w:val="4DC529C1"/>
    <w:rsid w:val="4DCB5250"/>
    <w:rsid w:val="4E2A0E78"/>
    <w:rsid w:val="4F873962"/>
    <w:rsid w:val="4F92738F"/>
    <w:rsid w:val="4FA662CE"/>
    <w:rsid w:val="4FB63CF5"/>
    <w:rsid w:val="4FC17B04"/>
    <w:rsid w:val="4FFF2B45"/>
    <w:rsid w:val="500037D4"/>
    <w:rsid w:val="501410FA"/>
    <w:rsid w:val="50205D85"/>
    <w:rsid w:val="502305CE"/>
    <w:rsid w:val="509D6B36"/>
    <w:rsid w:val="50E20028"/>
    <w:rsid w:val="50EB273B"/>
    <w:rsid w:val="50F87889"/>
    <w:rsid w:val="514B229E"/>
    <w:rsid w:val="5150725D"/>
    <w:rsid w:val="517860F3"/>
    <w:rsid w:val="51860E9E"/>
    <w:rsid w:val="524A4D58"/>
    <w:rsid w:val="52955FB3"/>
    <w:rsid w:val="52960FF2"/>
    <w:rsid w:val="529A5B53"/>
    <w:rsid w:val="52F42575"/>
    <w:rsid w:val="52F60B42"/>
    <w:rsid w:val="534D12A4"/>
    <w:rsid w:val="53531B4B"/>
    <w:rsid w:val="536329BD"/>
    <w:rsid w:val="53647DA3"/>
    <w:rsid w:val="53731DE7"/>
    <w:rsid w:val="538660B0"/>
    <w:rsid w:val="53BD5C40"/>
    <w:rsid w:val="5414133C"/>
    <w:rsid w:val="548D027F"/>
    <w:rsid w:val="54BA2EAE"/>
    <w:rsid w:val="54FD5792"/>
    <w:rsid w:val="55A93686"/>
    <w:rsid w:val="55B139FA"/>
    <w:rsid w:val="55E114D5"/>
    <w:rsid w:val="564A3398"/>
    <w:rsid w:val="56C4107E"/>
    <w:rsid w:val="57045D5A"/>
    <w:rsid w:val="578A7A88"/>
    <w:rsid w:val="578F58C9"/>
    <w:rsid w:val="57D94E6C"/>
    <w:rsid w:val="57F22457"/>
    <w:rsid w:val="58173BED"/>
    <w:rsid w:val="58264B2F"/>
    <w:rsid w:val="582B1C27"/>
    <w:rsid w:val="5839310F"/>
    <w:rsid w:val="584552BF"/>
    <w:rsid w:val="58EC44DE"/>
    <w:rsid w:val="59045508"/>
    <w:rsid w:val="592120C0"/>
    <w:rsid w:val="59331502"/>
    <w:rsid w:val="594C5E66"/>
    <w:rsid w:val="599778BB"/>
    <w:rsid w:val="59AB15BF"/>
    <w:rsid w:val="59E545C2"/>
    <w:rsid w:val="5A0443D6"/>
    <w:rsid w:val="5A3D3A3C"/>
    <w:rsid w:val="5A401792"/>
    <w:rsid w:val="5B690751"/>
    <w:rsid w:val="5BC10B40"/>
    <w:rsid w:val="5C1D1464"/>
    <w:rsid w:val="5C9E6A24"/>
    <w:rsid w:val="5CB937BA"/>
    <w:rsid w:val="5CC036D5"/>
    <w:rsid w:val="5D81625E"/>
    <w:rsid w:val="5D906BF5"/>
    <w:rsid w:val="5DB47334"/>
    <w:rsid w:val="5DC33751"/>
    <w:rsid w:val="5E172770"/>
    <w:rsid w:val="5E27547D"/>
    <w:rsid w:val="5E317753"/>
    <w:rsid w:val="5E340B81"/>
    <w:rsid w:val="5E3D0404"/>
    <w:rsid w:val="5E876FD9"/>
    <w:rsid w:val="5EC62701"/>
    <w:rsid w:val="5F54068C"/>
    <w:rsid w:val="5F6E31CD"/>
    <w:rsid w:val="60002E51"/>
    <w:rsid w:val="60286820"/>
    <w:rsid w:val="60555FE4"/>
    <w:rsid w:val="60A67B50"/>
    <w:rsid w:val="60CB4152"/>
    <w:rsid w:val="60CD632C"/>
    <w:rsid w:val="60CF3E48"/>
    <w:rsid w:val="60DC139E"/>
    <w:rsid w:val="60F40A4B"/>
    <w:rsid w:val="610F0A2B"/>
    <w:rsid w:val="612C42F2"/>
    <w:rsid w:val="612E74FF"/>
    <w:rsid w:val="613F381B"/>
    <w:rsid w:val="61427D4E"/>
    <w:rsid w:val="614C45A2"/>
    <w:rsid w:val="616422B3"/>
    <w:rsid w:val="616C4576"/>
    <w:rsid w:val="61AE3C5C"/>
    <w:rsid w:val="61C1436C"/>
    <w:rsid w:val="61C331AA"/>
    <w:rsid w:val="61DE537F"/>
    <w:rsid w:val="61FD7C20"/>
    <w:rsid w:val="62153A13"/>
    <w:rsid w:val="621A0401"/>
    <w:rsid w:val="62543634"/>
    <w:rsid w:val="62571A8C"/>
    <w:rsid w:val="6259148B"/>
    <w:rsid w:val="6284234E"/>
    <w:rsid w:val="62AE1103"/>
    <w:rsid w:val="62C771F5"/>
    <w:rsid w:val="62F62752"/>
    <w:rsid w:val="63075C78"/>
    <w:rsid w:val="63990AB5"/>
    <w:rsid w:val="63F27705"/>
    <w:rsid w:val="64597FC3"/>
    <w:rsid w:val="645F16B8"/>
    <w:rsid w:val="64795AFD"/>
    <w:rsid w:val="647D06BF"/>
    <w:rsid w:val="64A0181F"/>
    <w:rsid w:val="64C54636"/>
    <w:rsid w:val="650961CA"/>
    <w:rsid w:val="650A4CE3"/>
    <w:rsid w:val="652F4849"/>
    <w:rsid w:val="653B6DB7"/>
    <w:rsid w:val="657B34F3"/>
    <w:rsid w:val="65A208EF"/>
    <w:rsid w:val="65A60C2C"/>
    <w:rsid w:val="65B6240C"/>
    <w:rsid w:val="65CA0FF0"/>
    <w:rsid w:val="65EE2C12"/>
    <w:rsid w:val="65F07CC9"/>
    <w:rsid w:val="662B515E"/>
    <w:rsid w:val="6640611A"/>
    <w:rsid w:val="66787AF8"/>
    <w:rsid w:val="66875532"/>
    <w:rsid w:val="66C47EC6"/>
    <w:rsid w:val="66D53FEE"/>
    <w:rsid w:val="66F73C73"/>
    <w:rsid w:val="6707421C"/>
    <w:rsid w:val="67201A40"/>
    <w:rsid w:val="673D37B8"/>
    <w:rsid w:val="67515402"/>
    <w:rsid w:val="67521566"/>
    <w:rsid w:val="679B4A1A"/>
    <w:rsid w:val="680A1C1C"/>
    <w:rsid w:val="680A7425"/>
    <w:rsid w:val="68224AB7"/>
    <w:rsid w:val="683166D7"/>
    <w:rsid w:val="68371EB1"/>
    <w:rsid w:val="685A75E8"/>
    <w:rsid w:val="68615EDB"/>
    <w:rsid w:val="687410A0"/>
    <w:rsid w:val="68F52B6F"/>
    <w:rsid w:val="68FD24D6"/>
    <w:rsid w:val="69017C1D"/>
    <w:rsid w:val="69182B34"/>
    <w:rsid w:val="691A4459"/>
    <w:rsid w:val="692D0390"/>
    <w:rsid w:val="69556EB7"/>
    <w:rsid w:val="69E3663C"/>
    <w:rsid w:val="6A0551DE"/>
    <w:rsid w:val="6A120D25"/>
    <w:rsid w:val="6A2A5219"/>
    <w:rsid w:val="6AD348C2"/>
    <w:rsid w:val="6AD36EE6"/>
    <w:rsid w:val="6AF93859"/>
    <w:rsid w:val="6B005FF4"/>
    <w:rsid w:val="6B0F5C47"/>
    <w:rsid w:val="6B125020"/>
    <w:rsid w:val="6B1D6EAC"/>
    <w:rsid w:val="6B4500D3"/>
    <w:rsid w:val="6BD27171"/>
    <w:rsid w:val="6BDE5791"/>
    <w:rsid w:val="6BFA7F32"/>
    <w:rsid w:val="6C077347"/>
    <w:rsid w:val="6C354F23"/>
    <w:rsid w:val="6C963BCE"/>
    <w:rsid w:val="6CF1031B"/>
    <w:rsid w:val="6D184D18"/>
    <w:rsid w:val="6D36084C"/>
    <w:rsid w:val="6D6738CE"/>
    <w:rsid w:val="6D9825D1"/>
    <w:rsid w:val="6DBF6599"/>
    <w:rsid w:val="6DCE1423"/>
    <w:rsid w:val="6E136122"/>
    <w:rsid w:val="6E432DA1"/>
    <w:rsid w:val="6EB9047F"/>
    <w:rsid w:val="6EC05DE2"/>
    <w:rsid w:val="6ED802A2"/>
    <w:rsid w:val="6EE231E1"/>
    <w:rsid w:val="6F0A4E44"/>
    <w:rsid w:val="6F6C51AB"/>
    <w:rsid w:val="6F8705F8"/>
    <w:rsid w:val="6FC54D50"/>
    <w:rsid w:val="70062EC5"/>
    <w:rsid w:val="701A1470"/>
    <w:rsid w:val="70327D19"/>
    <w:rsid w:val="70516DB9"/>
    <w:rsid w:val="70572659"/>
    <w:rsid w:val="70862F2F"/>
    <w:rsid w:val="70C93198"/>
    <w:rsid w:val="70F62EA0"/>
    <w:rsid w:val="710E46EC"/>
    <w:rsid w:val="71324139"/>
    <w:rsid w:val="717C6EE8"/>
    <w:rsid w:val="71B37311"/>
    <w:rsid w:val="71CA07BD"/>
    <w:rsid w:val="721D2A0D"/>
    <w:rsid w:val="722517F9"/>
    <w:rsid w:val="7265389D"/>
    <w:rsid w:val="728523DB"/>
    <w:rsid w:val="72911A25"/>
    <w:rsid w:val="732764FB"/>
    <w:rsid w:val="7375573E"/>
    <w:rsid w:val="73B04906"/>
    <w:rsid w:val="73CB0206"/>
    <w:rsid w:val="73D0560B"/>
    <w:rsid w:val="73D727B7"/>
    <w:rsid w:val="73DD45C2"/>
    <w:rsid w:val="74197E04"/>
    <w:rsid w:val="74207C6A"/>
    <w:rsid w:val="7421270C"/>
    <w:rsid w:val="742A058B"/>
    <w:rsid w:val="74BA419B"/>
    <w:rsid w:val="74D41120"/>
    <w:rsid w:val="74EA6C4B"/>
    <w:rsid w:val="751B464E"/>
    <w:rsid w:val="755C07D6"/>
    <w:rsid w:val="757E009D"/>
    <w:rsid w:val="75E87AC0"/>
    <w:rsid w:val="763318E4"/>
    <w:rsid w:val="76736873"/>
    <w:rsid w:val="76754CBB"/>
    <w:rsid w:val="76F81FC6"/>
    <w:rsid w:val="77127EBF"/>
    <w:rsid w:val="77535900"/>
    <w:rsid w:val="775C04C5"/>
    <w:rsid w:val="77753DAA"/>
    <w:rsid w:val="77991E16"/>
    <w:rsid w:val="77A33325"/>
    <w:rsid w:val="77DB2ADA"/>
    <w:rsid w:val="77DD60B4"/>
    <w:rsid w:val="77FA735B"/>
    <w:rsid w:val="78143205"/>
    <w:rsid w:val="78186CD6"/>
    <w:rsid w:val="782A4815"/>
    <w:rsid w:val="78656D33"/>
    <w:rsid w:val="789828EB"/>
    <w:rsid w:val="78A9770C"/>
    <w:rsid w:val="78AB11DE"/>
    <w:rsid w:val="78CA7EBD"/>
    <w:rsid w:val="78CB590B"/>
    <w:rsid w:val="78D72BBA"/>
    <w:rsid w:val="79036C4A"/>
    <w:rsid w:val="791673BB"/>
    <w:rsid w:val="792403B1"/>
    <w:rsid w:val="797804DF"/>
    <w:rsid w:val="79887553"/>
    <w:rsid w:val="7988762A"/>
    <w:rsid w:val="79B774AA"/>
    <w:rsid w:val="79DB7220"/>
    <w:rsid w:val="7A380AA1"/>
    <w:rsid w:val="7A933FC1"/>
    <w:rsid w:val="7ACE1BC6"/>
    <w:rsid w:val="7B1153C0"/>
    <w:rsid w:val="7B43173F"/>
    <w:rsid w:val="7B4A5D58"/>
    <w:rsid w:val="7B823B87"/>
    <w:rsid w:val="7B912D47"/>
    <w:rsid w:val="7BE105FE"/>
    <w:rsid w:val="7BE85379"/>
    <w:rsid w:val="7C4272C0"/>
    <w:rsid w:val="7CA82D21"/>
    <w:rsid w:val="7CDF09B8"/>
    <w:rsid w:val="7CE432D8"/>
    <w:rsid w:val="7D112490"/>
    <w:rsid w:val="7D1B3445"/>
    <w:rsid w:val="7D255511"/>
    <w:rsid w:val="7D39160C"/>
    <w:rsid w:val="7D5F6D3B"/>
    <w:rsid w:val="7D9D01C0"/>
    <w:rsid w:val="7DAD344E"/>
    <w:rsid w:val="7DD55341"/>
    <w:rsid w:val="7DFA229B"/>
    <w:rsid w:val="7E155EC9"/>
    <w:rsid w:val="7E727180"/>
    <w:rsid w:val="7E8964B5"/>
    <w:rsid w:val="7E8F16A4"/>
    <w:rsid w:val="7F113252"/>
    <w:rsid w:val="7F4D6E65"/>
    <w:rsid w:val="7F54448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37</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2025-01-09T03:24:00Z</dcterms:created>
  <cp:lastModifiedBy>qianyi.jia</cp:lastModifiedBy>
  <cp:lastPrinted>2024-10-23T10:08:00Z</cp:lastPrinted>
  <dcterms:modified xsi:type="dcterms:W3CDTF">2026-07-01T08:43:39Z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