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2" w:name="_GoBack"/>
      <w:bookmarkEnd w:id="2"/>
      <w:r>
        <w:rPr>
          <w:rFonts w:hint="eastAsia" w:ascii="华文仿宋" w:hAnsi="华文仿宋" w:eastAsia="华文仿宋" w:cs="华文仿宋"/>
          <w:b/>
          <w:bCs/>
          <w:sz w:val="32"/>
          <w:szCs w:val="32"/>
          <w:highlight w:val="none"/>
          <w:lang w:eastAsia="zh-CN"/>
        </w:rPr>
        <w:t>渤银理财财收有略系列固定收益类六个月封闭式理财产品穗悦3号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8"/>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8"/>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8"/>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8"/>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8"/>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8"/>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8"/>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8"/>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8"/>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广州农村商业银行股份有限公司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渤银理财财收有略系列固定收益类六个月封闭式理财产品穗悦3号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计提基准：指管理人收取超额</w:t>
      </w:r>
      <w:r>
        <w:rPr>
          <w:rFonts w:hint="eastAsia" w:ascii="宋体" w:hAnsi="宋体" w:eastAsia="宋体"/>
          <w:sz w:val="24"/>
          <w:szCs w:val="24"/>
          <w:highlight w:val="none"/>
          <w:lang w:eastAsia="zh-CN"/>
        </w:rPr>
        <w:t>管理费、</w:t>
      </w:r>
      <w:r>
        <w:rPr>
          <w:rFonts w:hint="eastAsia" w:ascii="宋体" w:hAnsi="宋体" w:eastAsia="宋体"/>
          <w:sz w:val="24"/>
          <w:szCs w:val="24"/>
          <w:highlight w:val="none"/>
          <w:lang w:val="en-US" w:eastAsia="zh-CN"/>
        </w:rPr>
        <w:t>销售服务机构收取浮动销售费</w:t>
      </w:r>
      <w:r>
        <w:rPr>
          <w:rFonts w:ascii="宋体" w:hAnsi="宋体" w:eastAsia="宋体"/>
          <w:sz w:val="24"/>
          <w:szCs w:val="24"/>
          <w:highlight w:val="none"/>
        </w:rPr>
        <w:t>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w:t>
      </w:r>
      <w:r>
        <w:rPr>
          <w:rFonts w:hint="eastAsia" w:ascii="宋体" w:hAnsi="宋体" w:eastAsia="宋体"/>
          <w:b/>
          <w:bCs/>
          <w:sz w:val="24"/>
          <w:szCs w:val="24"/>
          <w:highlight w:val="none"/>
          <w:lang w:eastAsia="zh-CN"/>
        </w:rPr>
        <w:t>管理费</w:t>
      </w:r>
      <w:r>
        <w:rPr>
          <w:rFonts w:ascii="宋体" w:hAnsi="宋体" w:eastAsia="宋体"/>
          <w:b/>
          <w:bCs/>
          <w:sz w:val="24"/>
          <w:szCs w:val="24"/>
          <w:highlight w:val="none"/>
        </w:rPr>
        <w:t>：指产品管理人依照理财产品销售文件约定规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8.浮动销售</w:t>
      </w:r>
      <w:r>
        <w:rPr>
          <w:rFonts w:hint="eastAsia" w:ascii="宋体" w:hAnsi="宋体" w:eastAsia="宋体"/>
          <w:b/>
          <w:bCs/>
          <w:sz w:val="24"/>
          <w:szCs w:val="24"/>
          <w:highlight w:val="none"/>
          <w:lang w:eastAsia="zh-CN"/>
        </w:rPr>
        <w:t>费</w:t>
      </w:r>
      <w:r>
        <w:rPr>
          <w:rFonts w:ascii="宋体" w:hAnsi="宋体" w:eastAsia="宋体"/>
          <w:b/>
          <w:bCs/>
          <w:sz w:val="24"/>
          <w:szCs w:val="24"/>
          <w:highlight w:val="none"/>
        </w:rPr>
        <w:t>：指产品</w:t>
      </w:r>
      <w:r>
        <w:rPr>
          <w:rFonts w:hint="eastAsia" w:ascii="宋体" w:hAnsi="宋体" w:eastAsia="宋体"/>
          <w:b/>
          <w:bCs/>
          <w:sz w:val="24"/>
          <w:szCs w:val="24"/>
          <w:highlight w:val="none"/>
          <w:lang w:val="en-US" w:eastAsia="zh-CN"/>
        </w:rPr>
        <w:t>销售服务机构</w:t>
      </w:r>
      <w:r>
        <w:rPr>
          <w:rFonts w:ascii="宋体" w:hAnsi="宋体" w:eastAsia="宋体"/>
          <w:b/>
          <w:bCs/>
          <w:sz w:val="24"/>
          <w:szCs w:val="24"/>
          <w:highlight w:val="none"/>
        </w:rPr>
        <w:t>依照理财产品销售文件约定规</w:t>
      </w:r>
      <w:r>
        <w:rPr>
          <w:rFonts w:hint="eastAsia" w:ascii="宋体" w:hAnsi="宋体" w:eastAsia="宋体"/>
          <w:b/>
          <w:bCs/>
          <w:sz w:val="24"/>
          <w:szCs w:val="24"/>
          <w:highlight w:val="none"/>
        </w:rPr>
        <w:t>则收取的浮动性质的</w:t>
      </w:r>
      <w:r>
        <w:rPr>
          <w:rFonts w:hint="eastAsia" w:ascii="宋体" w:hAnsi="宋体" w:eastAsia="宋体"/>
          <w:b/>
          <w:bCs/>
          <w:sz w:val="24"/>
          <w:szCs w:val="24"/>
          <w:highlight w:val="none"/>
          <w:lang w:val="en-US" w:eastAsia="zh-CN"/>
        </w:rPr>
        <w:t>销售</w:t>
      </w:r>
      <w:r>
        <w:rPr>
          <w:rFonts w:hint="eastAsia" w:ascii="宋体" w:hAnsi="宋体" w:eastAsia="宋体"/>
          <w:b/>
          <w:bCs/>
          <w:sz w:val="24"/>
          <w:szCs w:val="24"/>
          <w:highlight w:val="none"/>
        </w:rPr>
        <w:t>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5"/>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产品名称</w:t>
            </w:r>
            <w:r>
              <w:rPr>
                <w:rFonts w:hint="eastAsia" w:ascii="宋体" w:hAnsi="宋体" w:eastAsia="宋体"/>
                <w:sz w:val="24"/>
                <w:szCs w:val="24"/>
                <w:highlight w:val="none"/>
                <w:lang w:eastAsia="zh-CN"/>
              </w:rPr>
              <w:t>：渤银理财财收有略系列固定收益类六个月封闭式理财产品穗悦3号</w:t>
            </w:r>
          </w:p>
          <w:p>
            <w:pPr>
              <w:spacing w:line="300" w:lineRule="auto"/>
              <w:rPr>
                <w:rFonts w:hint="eastAsia" w:ascii="宋体" w:hAnsi="宋体" w:eastAsia="宋体"/>
                <w:sz w:val="24"/>
                <w:szCs w:val="24"/>
                <w:highlight w:val="none"/>
                <w:lang w:val="en-US"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eastAsia="zh-CN"/>
              </w:rPr>
              <w:t>CSFB6MSY03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r>
              <w:rPr>
                <w:rFonts w:hint="eastAsia" w:ascii="宋体" w:hAnsi="宋体" w:eastAsia="宋体"/>
                <w:sz w:val="24"/>
                <w:szCs w:val="24"/>
                <w:highlight w:val="none"/>
                <w:lang w:eastAsia="zh-CN"/>
              </w:rPr>
              <w:t>渤银理财财收有略六个月穗悦3号</w:t>
            </w:r>
          </w:p>
          <w:p>
            <w:pPr>
              <w:spacing w:line="300" w:lineRule="auto"/>
              <w:rPr>
                <w:rFonts w:hint="eastAsia" w:ascii="宋体" w:hAnsi="宋体" w:eastAsia="宋体"/>
                <w:sz w:val="24"/>
                <w:szCs w:val="24"/>
                <w:highlight w:val="none"/>
                <w:lang w:eastAsia="zh-CN"/>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sz w:val="24"/>
                <w:szCs w:val="24"/>
                <w:highlight w:val="none"/>
                <w:lang w:eastAsia="zh-CN"/>
              </w:rPr>
              <w:t>CSFB6MSY03</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lang w:eastAsia="zh-CN"/>
              </w:rPr>
              <w:t>Z7008426000606</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广州农村商业银行股份有限公司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广州农村商业银行股份有限公司</w:t>
            </w:r>
            <w:r>
              <w:rPr>
                <w:rFonts w:hint="eastAsia" w:ascii="宋体" w:hAnsi="宋体" w:eastAsia="宋体"/>
                <w:sz w:val="24"/>
                <w:szCs w:val="24"/>
                <w:highlight w:val="none"/>
              </w:rPr>
              <w:t>，以下简称“代销机构”</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ind w:left="0" w:firstLine="0" w:firstLineChars="0"/>
              <w:rPr>
                <w:highlight w:val="none"/>
              </w:rPr>
            </w:pPr>
            <w:r>
              <w:rPr>
                <w:rFonts w:hint="eastAsia" w:ascii="宋体" w:hAnsi="宋体" w:eastAsia="宋体"/>
                <w:sz w:val="24"/>
                <w:szCs w:val="24"/>
                <w:highlight w:val="none"/>
              </w:rPr>
              <w:t>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2026年7月7日9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2026年7月14日17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2026年7月15日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2026年7月15日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w:t>
            </w:r>
            <w:r>
              <w:rPr>
                <w:rFonts w:hint="eastAsia" w:ascii="宋体" w:hAnsi="宋体" w:eastAsia="宋体"/>
                <w:sz w:val="24"/>
                <w:szCs w:val="24"/>
                <w:highlight w:val="none"/>
              </w:rPr>
              <w:t>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2027年1月21日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190</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本理财产品业绩比较基准为：年化【</w:t>
            </w:r>
            <w:r>
              <w:rPr>
                <w:rFonts w:hint="eastAsia" w:ascii="宋体" w:hAnsi="宋体" w:eastAsia="宋体"/>
                <w:b/>
                <w:bCs/>
                <w:sz w:val="24"/>
                <w:szCs w:val="24"/>
                <w:highlight w:val="none"/>
                <w:lang w:val="en-US" w:eastAsia="zh-CN"/>
              </w:rPr>
              <w:t>2.10</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业绩比较基准测算依据：本理财产品为固定收益类产品，以产品投资债权类资产仓位80%-100%，组合杠杆率80%-140%为例，根据当前市场环境下资产收益情况，考虑税费等因素，综合确定本产品业绩比较基准。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超额计提基准</w:t>
            </w:r>
          </w:p>
        </w:tc>
        <w:tc>
          <w:tcPr>
            <w:tcW w:w="6030" w:type="dxa"/>
            <w:vAlign w:val="center"/>
          </w:tcPr>
          <w:p>
            <w:pPr>
              <w:numPr>
                <w:ilvl w:val="255"/>
                <w:numId w:val="0"/>
              </w:numPr>
              <w:spacing w:line="300" w:lineRule="auto"/>
              <w:rPr>
                <w:rFonts w:hint="eastAsia" w:ascii="宋体" w:hAnsi="宋体" w:eastAsia="宋体"/>
                <w:sz w:val="24"/>
                <w:szCs w:val="24"/>
                <w:highlight w:val="none"/>
                <w:lang w:val="en-US" w:eastAsia="zh-CN"/>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不收取</w:t>
            </w:r>
            <w:r>
              <w:rPr>
                <w:rFonts w:hint="eastAsia" w:ascii="宋体" w:hAnsi="宋体" w:eastAsia="宋体"/>
                <w:b/>
                <w:bCs/>
                <w:sz w:val="24"/>
                <w:szCs w:val="24"/>
                <w:highlight w:val="none"/>
              </w:rPr>
              <w:t>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lang w:val="en-US" w:eastAsia="zh-CN"/>
              </w:rPr>
              <w:t>收取浮动销售费</w:t>
            </w:r>
            <w:r>
              <w:rPr>
                <w:rFonts w:ascii="宋体" w:hAnsi="宋体" w:eastAsia="宋体"/>
                <w:b/>
                <w:bCs/>
                <w:sz w:val="24"/>
                <w:szCs w:val="24"/>
                <w:highlight w:val="none"/>
              </w:rPr>
              <w:t>,</w:t>
            </w:r>
            <w:r>
              <w:rPr>
                <w:rFonts w:hint="eastAsia" w:ascii="宋体" w:hAnsi="宋体" w:eastAsia="宋体"/>
                <w:b/>
                <w:bCs/>
                <w:sz w:val="24"/>
                <w:szCs w:val="24"/>
                <w:highlight w:val="none"/>
              </w:rPr>
              <w:t>超额计提基准为：年化【</w:t>
            </w:r>
            <w:r>
              <w:rPr>
                <w:rFonts w:hint="eastAsia" w:ascii="宋体" w:hAnsi="宋体" w:eastAsia="宋体"/>
                <w:b/>
                <w:bCs/>
                <w:sz w:val="24"/>
                <w:szCs w:val="24"/>
                <w:highlight w:val="none"/>
                <w:lang w:val="en-US" w:eastAsia="zh-CN"/>
              </w:rPr>
              <w:t>2.10</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lang w:val="en-US" w:eastAsia="zh-CN"/>
              </w:rPr>
              <w:t>销售服务机构收取浮动销售费</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b/>
                <w:bCs/>
                <w:sz w:val="24"/>
                <w:szCs w:val="24"/>
                <w:highlight w:val="none"/>
              </w:rPr>
              <w:t>2.销售服务费：【</w:t>
            </w:r>
            <w:r>
              <w:rPr>
                <w:rFonts w:hint="eastAsia" w:ascii="宋体" w:hAnsi="宋体" w:eastAsia="宋体"/>
                <w:b/>
                <w:bCs/>
                <w:sz w:val="24"/>
                <w:szCs w:val="24"/>
                <w:highlight w:val="none"/>
                <w:lang w:val="en-US" w:eastAsia="zh-CN"/>
              </w:rPr>
              <w:t>0.30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:管理人不收取超额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w:t>
            </w:r>
          </w:p>
          <w:p>
            <w:pPr>
              <w:numPr>
                <w:ilvl w:val="0"/>
                <w:numId w:val="6"/>
              </w:numPr>
              <w:spacing w:line="300" w:lineRule="auto"/>
              <w:rPr>
                <w:rFonts w:hint="eastAsia" w:ascii="宋体" w:hAnsi="宋体" w:eastAsia="宋体"/>
                <w:b/>
                <w:bCs/>
                <w:sz w:val="24"/>
                <w:szCs w:val="24"/>
                <w:highlight w:val="none"/>
                <w:lang w:val="en-US" w:eastAsia="zh-CN"/>
              </w:rPr>
            </w:pPr>
            <w:r>
              <w:rPr>
                <w:rFonts w:hint="eastAsia" w:ascii="宋体" w:hAnsi="宋体" w:eastAsia="宋体"/>
                <w:b/>
                <w:bCs/>
                <w:sz w:val="24"/>
                <w:szCs w:val="24"/>
                <w:highlight w:val="none"/>
                <w:lang w:val="en-US" w:eastAsia="zh-CN"/>
              </w:rPr>
              <w:t>浮动销售费：</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在</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计提日，若</w:t>
            </w:r>
            <w:r>
              <w:rPr>
                <w:rFonts w:hint="eastAsia" w:ascii="宋体" w:hAnsi="宋体" w:eastAsia="宋体"/>
                <w:b/>
                <w:bCs/>
                <w:sz w:val="24"/>
                <w:szCs w:val="24"/>
                <w:highlight w:val="none"/>
                <w:lang w:val="en-US" w:eastAsia="zh-CN"/>
              </w:rPr>
              <w:t>产品</w:t>
            </w:r>
            <w:r>
              <w:rPr>
                <w:rFonts w:hint="eastAsia" w:ascii="宋体" w:hAnsi="宋体" w:eastAsia="宋体"/>
                <w:b/>
                <w:bCs/>
                <w:sz w:val="24"/>
                <w:szCs w:val="24"/>
                <w:highlight w:val="none"/>
              </w:rPr>
              <w:t>的份额净值折算的年化收益率超过</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计提基准，则产品</w:t>
            </w: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收取超过</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7</w:t>
            </w:r>
            <w:r>
              <w:rPr>
                <w:rFonts w:hint="eastAsia" w:ascii="宋体" w:hAnsi="宋体" w:eastAsia="宋体"/>
                <w:b/>
                <w:bCs/>
                <w:sz w:val="24"/>
                <w:szCs w:val="24"/>
                <w:highlight w:val="none"/>
              </w:rPr>
              <w:t>.其他（如有）：除理财产品所承担的固定管理费、托管费、销售服务费、超额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（如有）、</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8</w:t>
            </w:r>
            <w:r>
              <w:rPr>
                <w:rFonts w:hint="eastAsia" w:ascii="宋体" w:hAnsi="宋体" w:eastAsia="宋体"/>
                <w:b/>
                <w:bCs/>
                <w:sz w:val="24"/>
                <w:szCs w:val="24"/>
                <w:highlight w:val="none"/>
              </w:rPr>
              <w:t>.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理财产品实际终止日至资金到账日为终止清算期，清算期内产生的利息（如有）归投资者所有</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vAlign w:val="top"/>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vAlign w:val="top"/>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vAlign w:val="top"/>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vAlign w:val="top"/>
          </w:tcPr>
          <w:p>
            <w:pPr>
              <w:spacing w:line="300" w:lineRule="auto"/>
              <w:jc w:val="center"/>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7"/>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综合分析宏观经济走势、财政与货币政策、利率波动与趋势、利率期限结构、信用风险和利差变化等因素，在符合产品投资范围和投资比例的前提下，综合考虑各类投资品种的收益性、流动性和风险特征，追求获得较好的投资回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配置策略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选择投资于信用风险较为可控、收益相对较高的固定收益类资产，构建具有较优风险收益特征的投资组合。标准化债权资产的配置会在对市场利率波动与趋势做出预期分析的基础上，结合利率期限结构变化、信用利差变化等因素挑选较优的组合配置方案。</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2</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利率预期策略与组合久期管理</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对宏观经济走势的研究，结合对财政政策、货币政策等经济金融政策的分析对市场利率波动与趋势做出预期和判断，并在综合考虑组合流动性的前提下，调整组合的资产配置久期。在合理控制风险的前提下，通过利率趋势预测，力争增厚组合收益。</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3</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交易策略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根据对市场利率波动与趋势的判断选取高流动性的金融工具(如国债、政策性金融债等)进行波段交易，高抛低吸以期获得交易性收益。交易策略将考虑投资品种的风险和收益特征，谨慎投资。</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3.</w:t>
      </w:r>
      <w:r>
        <w:rPr>
          <w:rFonts w:hint="eastAsia" w:ascii="宋体" w:hAnsi="宋体" w:eastAsia="宋体"/>
          <w:b/>
          <w:bCs/>
          <w:sz w:val="24"/>
          <w:szCs w:val="24"/>
          <w:highlight w:val="none"/>
        </w:rPr>
        <w:t>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val="en-US" w:eastAsia="zh-CN"/>
        </w:rPr>
        <w:t>2026年7月7日9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val="en-US" w:eastAsia="zh-CN"/>
        </w:rPr>
        <w:t>2026年7月14日17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5"/>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w:t>
      </w:r>
      <w:r>
        <w:rPr>
          <w:rFonts w:hint="eastAsia" w:ascii="宋体" w:hAnsi="宋体" w:eastAsia="宋体"/>
          <w:sz w:val="24"/>
          <w:szCs w:val="24"/>
          <w:highlight w:val="none"/>
        </w:rPr>
        <w:t>法律法规规定或产品管理人基于审慎考虑认定的其他情形。</w:t>
      </w:r>
    </w:p>
    <w:p>
      <w:pPr>
        <w:spacing w:line="300" w:lineRule="auto"/>
        <w:ind w:firstLine="480" w:firstLineChars="200"/>
        <w:jc w:val="left"/>
        <w:outlineLvl w:val="1"/>
        <w:rPr>
          <w:rFonts w:hint="eastAsia" w:ascii="宋体" w:hAnsi="宋体" w:cs="宋体"/>
          <w:sz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，托管人收取的托管费，销售服务机构收取的销售服务费</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val="en-US" w:eastAsia="zh-CN" w:bidi="ar"/>
        </w:rPr>
        <w:t>理财产品</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val="en-US" w:eastAsia="zh-CN" w:bidi="ar"/>
        </w:rPr>
        <w:t>理财产品</w:t>
      </w:r>
      <w:r>
        <w:rPr>
          <w:rFonts w:hint="eastAsia" w:ascii="宋体" w:hAnsi="宋体" w:eastAsia="宋体"/>
          <w:b/>
          <w:bCs/>
          <w:sz w:val="24"/>
          <w:szCs w:val="24"/>
          <w:highlight w:val="none"/>
        </w:rPr>
        <w:t>净资产×当前执行的销售服务费率÷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：管理人</w:t>
      </w:r>
      <w:r>
        <w:rPr>
          <w:rFonts w:hint="eastAsia" w:ascii="宋体" w:hAnsi="宋体" w:eastAsia="宋体"/>
          <w:b/>
          <w:bCs/>
          <w:sz w:val="24"/>
          <w:szCs w:val="24"/>
          <w:highlight w:val="none"/>
          <w:lang w:val="en-US" w:eastAsia="zh-CN"/>
        </w:rPr>
        <w:t>不</w:t>
      </w:r>
      <w:r>
        <w:rPr>
          <w:rFonts w:hint="eastAsia" w:ascii="宋体" w:hAnsi="宋体" w:eastAsia="宋体"/>
          <w:b/>
          <w:bCs/>
          <w:sz w:val="24"/>
          <w:szCs w:val="24"/>
          <w:highlight w:val="none"/>
        </w:rPr>
        <w:t>收取理财产品超额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7</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收取理财产品</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。理财产品终止日的前一日为计提评价日，</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年化的名义份额净值收益率超过</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计提基准时，计提超出部分的</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50】</w:t>
      </w:r>
      <w:r>
        <w:rPr>
          <w:rFonts w:ascii="宋体" w:hAnsi="宋体" w:eastAsia="宋体"/>
          <w:b/>
          <w:bCs/>
          <w:sz w:val="24"/>
          <w:szCs w:val="24"/>
          <w:highlight w:val="none"/>
        </w:rPr>
        <w:t>%</w:t>
      </w:r>
      <w:r>
        <w:rPr>
          <w:rFonts w:hint="eastAsia" w:ascii="宋体" w:hAnsi="宋体" w:eastAsia="宋体"/>
          <w:b/>
          <w:bCs/>
          <w:sz w:val="24"/>
          <w:szCs w:val="24"/>
          <w:highlight w:val="none"/>
        </w:rPr>
        <w:t>作为</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计提评价日应计提的</w:t>
      </w:r>
      <w:r>
        <w:rPr>
          <w:rFonts w:hint="eastAsia" w:ascii="宋体" w:hAnsi="宋体" w:eastAsia="宋体"/>
          <w:b/>
          <w:bCs/>
          <w:sz w:val="24"/>
          <w:szCs w:val="24"/>
          <w:highlight w:val="none"/>
          <w:lang w:val="en-US" w:eastAsia="zh-CN"/>
        </w:rPr>
        <w:t>浮动销售费</w:t>
      </w:r>
      <w:r>
        <w:rPr>
          <w:rFonts w:ascii="宋体" w:hAnsi="宋体" w:eastAsia="宋体"/>
          <w:b/>
          <w:bCs/>
          <w:sz w:val="24"/>
          <w:szCs w:val="24"/>
          <w:highlight w:val="none"/>
        </w:rPr>
        <w:t>=(</w:t>
      </w:r>
      <w:r>
        <w:rPr>
          <w:rFonts w:hint="eastAsia" w:ascii="宋体" w:hAnsi="宋体" w:eastAsia="宋体"/>
          <w:b/>
          <w:bCs/>
          <w:sz w:val="24"/>
          <w:szCs w:val="24"/>
          <w:highlight w:val="none"/>
        </w:rPr>
        <w:t>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highlight w:val="none"/>
        </w:rPr>
        <w:t>总份额×</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50】</w:t>
      </w:r>
      <w:r>
        <w:rPr>
          <w:rFonts w:ascii="宋体" w:hAnsi="宋体" w:eastAsia="宋体"/>
          <w:b/>
          <w:bCs/>
          <w:sz w:val="24"/>
          <w:szCs w:val="24"/>
          <w:highlight w:val="none"/>
        </w:rPr>
        <w:t>%</w:t>
      </w:r>
      <w:r>
        <w:rPr>
          <w:rFonts w:hint="eastAsia" w:ascii="宋体" w:hAnsi="宋体" w:eastAsia="宋体"/>
          <w:b/>
          <w:bCs/>
          <w:sz w:val="24"/>
          <w:szCs w:val="24"/>
          <w:highlight w:val="none"/>
        </w:rPr>
        <w:t>，其中，名义份额净值收益率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产品单位份额发行价格）÷产品单位份额发行价格。区间天数是指理财产品成立日（含），截止到计提评价日当天（含）的实际天数。理财产品累计份额净值</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highlight w:val="none"/>
        </w:rPr>
        <w:t>资产净值</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highlight w:val="none"/>
        </w:rPr>
        <w:t>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highlight w:val="none"/>
        </w:rPr>
        <w:t>累计单位分红金额。</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highlight w:val="none"/>
        </w:rPr>
        <w:t>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w:t>
      </w:r>
      <w:r>
        <w:rPr>
          <w:rFonts w:hint="eastAsia" w:ascii="宋体" w:hAnsi="宋体" w:eastAsia="宋体"/>
          <w:b/>
          <w:bCs/>
          <w:sz w:val="24"/>
          <w:szCs w:val="24"/>
          <w:highlight w:val="none"/>
          <w:lang w:val="en-US" w:eastAsia="zh-CN"/>
        </w:rPr>
        <w:t>估值</w:t>
      </w:r>
      <w:r>
        <w:rPr>
          <w:rFonts w:hint="eastAsia" w:ascii="宋体" w:hAnsi="宋体" w:eastAsia="宋体"/>
          <w:b/>
          <w:bCs/>
          <w:sz w:val="24"/>
          <w:szCs w:val="24"/>
          <w:highlight w:val="none"/>
        </w:rPr>
        <w:t>日视作计提评价日，并按照产品说明书约定的计算方法暂估计提，用于产品估值核算，投资者需知悉，管理人对外披露的净值为暂估计提</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后的结果，但仅以本理财产品终止日的前一日确认计提的</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0"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0"/>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个工作日内根据实际情况</w:t>
      </w:r>
      <w:r>
        <w:rPr>
          <w:rFonts w:hint="eastAsia" w:ascii="宋体" w:hAnsi="宋体" w:eastAsia="宋体"/>
          <w:sz w:val="24"/>
          <w:szCs w:val="24"/>
          <w:highlight w:val="none"/>
          <w:lang w:val="en-US" w:eastAsia="zh-CN"/>
        </w:rPr>
        <w:t>进行</w:t>
      </w:r>
      <w:r>
        <w:rPr>
          <w:rFonts w:ascii="宋体" w:hAnsi="宋体" w:eastAsia="宋体"/>
          <w:sz w:val="24"/>
          <w:szCs w:val="24"/>
          <w:highlight w:val="none"/>
        </w:rPr>
        <w:t>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w:t>
      </w:r>
      <w:r>
        <w:rPr>
          <w:rFonts w:hint="eastAsia" w:ascii="宋体" w:hAnsi="宋体" w:eastAsia="宋体"/>
          <w:sz w:val="24"/>
          <w:szCs w:val="24"/>
          <w:highlight w:val="none"/>
        </w:rPr>
        <w:t>持有的份额数。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r>
        <w:rPr>
          <w:rFonts w:ascii="宋体" w:hAnsi="宋体" w:eastAsia="宋体"/>
          <w:sz w:val="24"/>
          <w:szCs w:val="24"/>
          <w:highlight w:val="none"/>
        </w:rPr>
        <w:t>。</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10</w:t>
      </w:r>
      <w:r>
        <w:rPr>
          <w:rFonts w:hint="eastAsia" w:ascii="宋体" w:hAnsi="宋体" w:eastAsia="宋体"/>
          <w:sz w:val="24"/>
          <w:szCs w:val="24"/>
          <w:highlight w:val="none"/>
        </w:rPr>
        <w:t>.</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11</w:t>
      </w:r>
      <w:r>
        <w:rPr>
          <w:rFonts w:hint="eastAsia" w:ascii="宋体" w:hAnsi="宋体" w:eastAsia="宋体"/>
          <w:sz w:val="24"/>
          <w:szCs w:val="24"/>
          <w:highlight w:val="none"/>
        </w:rPr>
        <w:t>.</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eastAsia="zh-CN"/>
        </w:rPr>
        <w:t>广州农村商业银行股份有限公司</w:t>
      </w:r>
      <w:r>
        <w:rPr>
          <w:rFonts w:hint="eastAsia" w:ascii="宋体" w:hAnsi="宋体" w:eastAsia="宋体"/>
          <w:sz w:val="24"/>
          <w:szCs w:val="24"/>
          <w:highlight w:val="none"/>
        </w:rPr>
        <w:t>，地址为</w:t>
      </w:r>
      <w:r>
        <w:rPr>
          <w:rFonts w:hint="eastAsia" w:ascii="宋体" w:hAnsi="宋体" w:eastAsia="宋体"/>
          <w:sz w:val="24"/>
          <w:szCs w:val="24"/>
          <w:highlight w:val="none"/>
          <w:lang w:val="en-US" w:eastAsia="zh-CN"/>
        </w:rPr>
        <w:t>广州市黄埔区映日路9号</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1" w:name="_Hlk136876402"/>
      <w:r>
        <w:rPr>
          <w:rFonts w:hint="eastAsia" w:ascii="宋体" w:hAnsi="宋体" w:eastAsia="宋体"/>
          <w:sz w:val="24"/>
          <w:szCs w:val="24"/>
          <w:highlight w:val="none"/>
          <w:lang w:val="en-US" w:eastAsia="zh-CN"/>
        </w:rPr>
        <w:t>广州农村商业银行股份有限公司</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住所：广州市黄埔区映日路9号</w:t>
      </w:r>
      <w:r>
        <w:rPr>
          <w:rFonts w:hint="eastAsia" w:ascii="宋体" w:hAnsi="宋体" w:eastAsia="宋体"/>
          <w:sz w:val="24"/>
          <w:szCs w:val="24"/>
          <w:highlight w:val="none"/>
        </w:rPr>
        <w:t>，客户服务热线：</w:t>
      </w:r>
      <w:r>
        <w:rPr>
          <w:rFonts w:hint="eastAsia" w:ascii="宋体" w:hAnsi="宋体" w:eastAsia="宋体"/>
          <w:sz w:val="24"/>
          <w:szCs w:val="24"/>
          <w:highlight w:val="none"/>
          <w:lang w:val="en-US" w:eastAsia="zh-CN"/>
        </w:rPr>
        <w:t>95313</w:t>
      </w:r>
      <w:r>
        <w:rPr>
          <w:rFonts w:hint="eastAsia" w:ascii="宋体" w:hAnsi="宋体" w:eastAsia="宋体"/>
          <w:sz w:val="24"/>
          <w:szCs w:val="24"/>
          <w:highlight w:val="none"/>
          <w:lang w:eastAsia="zh-CN"/>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1"/>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w:t>
      </w:r>
      <w:r>
        <w:rPr>
          <w:rFonts w:hint="eastAsia" w:ascii="宋体" w:hAnsi="宋体" w:eastAsia="宋体"/>
          <w:sz w:val="24"/>
          <w:szCs w:val="24"/>
          <w:highlight w:val="none"/>
          <w:lang w:eastAsia="zh-CN"/>
        </w:rPr>
        <w:t>6</w:t>
      </w:r>
      <w:r>
        <w:rPr>
          <w:rFonts w:hint="eastAsia" w:ascii="宋体" w:hAnsi="宋体" w:eastAsia="宋体"/>
          <w:sz w:val="24"/>
          <w:szCs w:val="24"/>
          <w:highlight w:val="none"/>
          <w:lang w:val="en-US" w:eastAsia="zh-CN"/>
        </w:rPr>
        <w:t>0</w:t>
      </w:r>
      <w:r>
        <w:rPr>
          <w:rFonts w:ascii="宋体" w:hAnsi="宋体" w:eastAsia="宋体"/>
          <w:sz w:val="24"/>
          <w:szCs w:val="24"/>
          <w:highlight w:val="none"/>
        </w:rPr>
        <w:t>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C507B729"/>
    <w:multiLevelType w:val="singleLevel"/>
    <w:tmpl w:val="C507B729"/>
    <w:lvl w:ilvl="0" w:tentative="0">
      <w:start w:val="4"/>
      <w:numFmt w:val="decimal"/>
      <w:lvlText w:val="%1."/>
      <w:lvlJc w:val="left"/>
      <w:pPr>
        <w:tabs>
          <w:tab w:val="left" w:pos="312"/>
        </w:tabs>
      </w:pPr>
    </w:lvl>
  </w:abstractNum>
  <w:abstractNum w:abstractNumId="2">
    <w:nsid w:val="FFD60F38"/>
    <w:multiLevelType w:val="singleLevel"/>
    <w:tmpl w:val="FFD60F38"/>
    <w:lvl w:ilvl="0" w:tentative="0">
      <w:start w:val="6"/>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8"/>
  </w:num>
  <w:num w:numId="5">
    <w:abstractNumId w:val="6"/>
  </w:num>
  <w:num w:numId="6">
    <w:abstractNumId w:val="2"/>
  </w:num>
  <w:num w:numId="7">
    <w:abstractNumId w:val="0"/>
  </w:num>
  <w:num w:numId="8">
    <w:abstractNumId w:val="7"/>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1D22C10"/>
    <w:rsid w:val="026217BC"/>
    <w:rsid w:val="08C07EC0"/>
    <w:rsid w:val="11D22C10"/>
    <w:rsid w:val="6C877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风险揭示书页眉"/>
    <w:basedOn w:val="1"/>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 w:type="paragraph" w:styleId="8">
    <w:name w:val="List Paragraph"/>
    <w:basedOn w:val="1"/>
    <w:semiHidden/>
    <w:unhideWhenUsed/>
    <w:qFormat/>
    <w:uiPriority w:val="99"/>
    <w:pPr>
      <w:ind w:firstLine="420" w:firstLineChars="200"/>
    </w:pPr>
  </w:style>
  <w:style w:type="paragraph" w:customStyle="1" w:styleId="9">
    <w:name w:val="列表段落1"/>
    <w:basedOn w:val="1"/>
    <w:qFormat/>
    <w:uiPriority w:val="0"/>
    <w:pPr>
      <w:ind w:firstLine="420" w:firstLineChars="200"/>
    </w:pPr>
    <w:rPr>
      <w:rFonts w:ascii="Times New Roman" w:hAnsi="Times New Roman" w:eastAsia="宋体" w:cs="Times New Roman"/>
      <w:szCs w:val="20"/>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2026-06-26T06:00:00Z</dcterms:created>
  <cp:lastModifiedBy>bylccpglb</cp:lastModifiedBy>
  <dcterms:modified xsi:type="dcterms:W3CDTF">2026-06-29T07:43:37Z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BB4353CBFF6F48D2B487A435CBC8C5FA</vt:lpwstr>
  </property>
</Properties>
</file>