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28"/>
          <w:szCs w:val="28"/>
          <w:highlight w:val="none"/>
        </w:rPr>
      </w:pPr>
      <w:r>
        <w:rPr>
          <w:rFonts w:hint="eastAsia" w:ascii="华文仿宋" w:hAnsi="华文仿宋" w:eastAsia="华文仿宋" w:cs="华文仿宋"/>
          <w:b/>
          <w:bCs/>
          <w:sz w:val="28"/>
          <w:szCs w:val="28"/>
          <w:highlight w:val="none"/>
        </w:rPr>
        <w:t>渤银理财理财有术系列持盈增利180天最短持有期固收理财产品2号</w:t>
      </w:r>
    </w:p>
    <w:p>
      <w:pPr>
        <w:jc w:val="center"/>
        <w:rPr>
          <w:b/>
          <w:bCs/>
          <w:sz w:val="20"/>
          <w:szCs w:val="21"/>
          <w:highlight w:val="none"/>
        </w:rPr>
      </w:pPr>
      <w:r>
        <w:rPr>
          <w:rFonts w:ascii="华文仿宋" w:hAnsi="华文仿宋" w:eastAsia="华文仿宋" w:cs="华文仿宋"/>
          <w:b/>
          <w:bCs/>
          <w:sz w:val="28"/>
          <w:szCs w:val="28"/>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将持续配合管理人或销售服务机构不时更新的措施和要求。若</w:t>
      </w:r>
      <w:r>
        <w:rPr>
          <w:rFonts w:ascii="宋体" w:hAnsi="宋体" w:eastAsia="宋体"/>
          <w:sz w:val="24"/>
          <w:szCs w:val="24"/>
          <w:highlight w:val="none"/>
        </w:rPr>
        <w:t>投资者</w:t>
      </w:r>
      <w:r>
        <w:rPr>
          <w:rFonts w:hint="eastAsia" w:ascii="宋体" w:hAnsi="宋体" w:eastAsia="宋体"/>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sz w:val="24"/>
          <w:szCs w:val="24"/>
          <w:highlight w:val="none"/>
        </w:rPr>
        <w:t>投资者</w:t>
      </w:r>
      <w:r>
        <w:rPr>
          <w:rFonts w:hint="eastAsia" w:ascii="宋体" w:hAnsi="宋体" w:eastAsia="宋体"/>
          <w:sz w:val="24"/>
          <w:szCs w:val="24"/>
          <w:highlight w:val="none"/>
        </w:rPr>
        <w:t>届时持有的理财产品而无需事先通知</w:t>
      </w:r>
      <w:r>
        <w:rPr>
          <w:rFonts w:ascii="宋体" w:hAnsi="宋体" w:eastAsia="宋体"/>
          <w:sz w:val="24"/>
          <w:szCs w:val="24"/>
          <w:highlight w:val="none"/>
        </w:rPr>
        <w:t>投资者</w:t>
      </w:r>
      <w:r>
        <w:rPr>
          <w:rFonts w:hint="eastAsia" w:ascii="宋体" w:hAnsi="宋体" w:eastAsia="宋体"/>
          <w:sz w:val="24"/>
          <w:szCs w:val="24"/>
          <w:highlight w:val="none"/>
        </w:rPr>
        <w:t>或征得</w:t>
      </w:r>
      <w:r>
        <w:rPr>
          <w:rFonts w:ascii="宋体" w:hAnsi="宋体" w:eastAsia="宋体"/>
          <w:sz w:val="24"/>
          <w:szCs w:val="24"/>
          <w:highlight w:val="none"/>
        </w:rPr>
        <w:t>投资者</w:t>
      </w:r>
      <w:r>
        <w:rPr>
          <w:rFonts w:hint="eastAsia" w:ascii="宋体" w:hAnsi="宋体" w:eastAsia="宋体"/>
          <w:sz w:val="24"/>
          <w:szCs w:val="24"/>
          <w:highlight w:val="none"/>
        </w:rPr>
        <w:t>的同意，</w:t>
      </w:r>
      <w:r>
        <w:rPr>
          <w:rFonts w:ascii="宋体" w:hAnsi="宋体" w:eastAsia="宋体"/>
          <w:sz w:val="24"/>
          <w:szCs w:val="24"/>
          <w:highlight w:val="none"/>
        </w:rPr>
        <w:t>投资者</w:t>
      </w:r>
      <w:r>
        <w:rPr>
          <w:rFonts w:hint="eastAsia" w:ascii="宋体" w:hAnsi="宋体" w:eastAsia="宋体"/>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本理财产品属于固定收益类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，【投资于存款、债券等债权类资产的比例不低于80%】</w:t>
      </w:r>
      <w:r>
        <w:rPr>
          <w:rFonts w:ascii="宋体" w:hAnsi="宋体" w:eastAsia="宋体"/>
          <w:sz w:val="24"/>
          <w:szCs w:val="24"/>
          <w:highlight w:val="none"/>
        </w:rPr>
        <w:t>。</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rPr>
        <w:t>上海浦东发展银行股份有限公司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w:t>
      </w:r>
      <w:r>
        <w:rPr>
          <w:rFonts w:ascii="宋体" w:hAnsi="宋体" w:eastAsia="宋体"/>
          <w:sz w:val="24"/>
          <w:szCs w:val="24"/>
          <w:highlight w:val="none"/>
        </w:rPr>
        <w:t>《</w:t>
      </w:r>
      <w:r>
        <w:rPr>
          <w:rFonts w:hint="eastAsia" w:ascii="宋体" w:hAnsi="宋体" w:eastAsia="宋体"/>
          <w:sz w:val="24"/>
          <w:szCs w:val="24"/>
          <w:highlight w:val="none"/>
        </w:rPr>
        <w:t>渤银理财理财有术系列持盈增利180天最短持有期固收理财产品2号产品说明书</w:t>
      </w:r>
      <w:r>
        <w:rPr>
          <w:rFonts w:ascii="宋体" w:hAnsi="宋体" w:eastAsia="宋体"/>
          <w:sz w:val="24"/>
          <w:szCs w:val="24"/>
          <w:highlight w:val="none"/>
        </w:rPr>
        <w:t>》</w:t>
      </w:r>
      <w:r>
        <w:rPr>
          <w:rFonts w:hint="eastAsia" w:ascii="宋体" w:hAnsi="宋体" w:eastAsia="宋体"/>
          <w:sz w:val="24"/>
          <w:szCs w:val="24"/>
          <w:highlight w:val="none"/>
        </w:rPr>
        <w:t>】</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产品名称：渤银理财理财有术系列持盈增利180天最短持有期固收理财产品2号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产品代码：LCYS180CYZ2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：理财有术持盈增利180天最短持有期固收2号理财产品</w:t>
            </w:r>
            <w:r>
              <w:rPr>
                <w:rFonts w:hint="eastAsia" w:ascii="宋体" w:hAnsi="宋体" w:eastAsia="宋体" w:cs="宋体"/>
                <w:sz w:val="24"/>
                <w:szCs w:val="24"/>
                <w:highlight w:val="none"/>
                <w:lang w:val="en-US" w:eastAsia="zh-CN"/>
              </w:rPr>
              <w:t>C</w:t>
            </w:r>
          </w:p>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★LC180CYZ2</w:t>
            </w:r>
            <w:r>
              <w:rPr>
                <w:rFonts w:hint="eastAsia" w:ascii="宋体" w:hAnsi="宋体" w:eastAsia="宋体" w:cs="宋体"/>
                <w:sz w:val="24"/>
                <w:szCs w:val="24"/>
                <w:highlight w:val="none"/>
                <w:lang w:val="en-US" w:eastAsia="zh-CN"/>
              </w:rPr>
              <w:t>C</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lang w:eastAsia="zh-CN"/>
              </w:rPr>
              <w:t>000</w:t>
            </w:r>
            <w:r>
              <w:rPr>
                <w:rFonts w:hint="eastAsia" w:ascii="宋体" w:hAnsi="宋体" w:eastAsia="宋体"/>
                <w:sz w:val="24"/>
                <w:szCs w:val="24"/>
                <w:highlight w:val="none"/>
              </w:rPr>
              <w:t>183</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eastAsia="zh-CN"/>
              </w:rPr>
              <w:t>C类份额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6.</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R2（较低/中低风险）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上海浦东发展银行股份有限公司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：渣打银行（中国）有限公司，以下简称“代销机构”</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销售服务机构，如有</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渤银理财建议，R2（较低/中低风险）评级产品适合风险承受能力为C2稳健型、C3平衡型、C4成长型和C5进取型客户购买。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【500亿】元</w:t>
            </w:r>
            <w:r>
              <w:rPr>
                <w:rFonts w:ascii="宋体" w:hAnsi="宋体" w:eastAsia="宋体"/>
                <w:sz w:val="24"/>
                <w:szCs w:val="24"/>
                <w:highlight w:val="none"/>
              </w:rPr>
              <w:t>，发行规模下限为</w:t>
            </w:r>
            <w:r>
              <w:rPr>
                <w:rFonts w:hint="eastAsia" w:ascii="宋体" w:hAnsi="宋体" w:eastAsia="宋体"/>
                <w:sz w:val="24"/>
                <w:szCs w:val="24"/>
                <w:highlight w:val="none"/>
              </w:rPr>
              <w:t>【40万】元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】：认购/申购起点为人民币【1】元，超过认购/申购起点部分以人民币【1】元整数倍递增。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w:t>
            </w:r>
            <w:r>
              <w:rPr>
                <w:rFonts w:hint="eastAsia" w:ascii="宋体" w:hAnsi="宋体" w:eastAsia="宋体"/>
                <w:sz w:val="24"/>
                <w:szCs w:val="24"/>
                <w:highlight w:val="none"/>
                <w:lang w:val="en-US" w:eastAsia="zh-CN"/>
              </w:rPr>
              <w:t>/申购</w:t>
            </w:r>
            <w:r>
              <w:rPr>
                <w:rFonts w:hint="eastAsia" w:ascii="宋体" w:hAnsi="宋体" w:eastAsia="宋体"/>
                <w:sz w:val="24"/>
                <w:szCs w:val="24"/>
                <w:highlight w:val="none"/>
              </w:rPr>
              <w:t>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w:t>
            </w:r>
            <w:r>
              <w:rPr>
                <w:rFonts w:hint="eastAsia" w:ascii="宋体" w:hAnsi="宋体" w:eastAsia="宋体"/>
                <w:sz w:val="24"/>
                <w:szCs w:val="24"/>
                <w:highlight w:val="none"/>
                <w:lang w:val="en-US" w:eastAsia="zh-CN"/>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】：个人投资者单笔赎回上限为【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】份，机构投资者单笔赎回上限为【/】份。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】：个人投资者单日累计赎回上限为【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】份，机构投资者单日累计赎回上限为【/】份。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为【2025】年【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15</w:t>
            </w:r>
            <w:r>
              <w:rPr>
                <w:rFonts w:ascii="宋体" w:hAnsi="宋体" w:eastAsia="宋体"/>
                <w:sz w:val="24"/>
                <w:szCs w:val="24"/>
                <w:highlight w:val="none"/>
              </w:rPr>
              <w:t>】日【09:00】至【2025】年【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19</w:t>
            </w:r>
            <w:r>
              <w:rPr>
                <w:rFonts w:ascii="宋体" w:hAnsi="宋体" w:eastAsia="宋体"/>
                <w:sz w:val="24"/>
                <w:szCs w:val="24"/>
                <w:highlight w:val="none"/>
              </w:rPr>
              <w:t>】日【15:30】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为【2025】年【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20</w:t>
            </w:r>
            <w:r>
              <w:rPr>
                <w:rFonts w:ascii="宋体" w:hAnsi="宋体" w:eastAsia="宋体"/>
                <w:sz w:val="24"/>
                <w:szCs w:val="24"/>
                <w:highlight w:val="none"/>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产品的计划成立日为【2025】年【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20</w:t>
            </w:r>
            <w:r>
              <w:rPr>
                <w:rFonts w:ascii="宋体" w:hAnsi="宋体" w:eastAsia="宋体"/>
                <w:sz w:val="24"/>
                <w:szCs w:val="24"/>
                <w:highlight w:val="none"/>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最短持有期和最短持有期结束日</w:t>
            </w:r>
          </w:p>
        </w:tc>
        <w:tc>
          <w:tcPr>
            <w:tcW w:w="6096" w:type="dxa"/>
            <w:vAlign w:val="center"/>
          </w:tcPr>
          <w:p>
            <w:pPr>
              <w:spacing w:line="300" w:lineRule="auto"/>
              <w:rPr>
                <w:rFonts w:ascii="宋体" w:hAnsi="宋体" w:eastAsia="宋体" w:cs="宋体"/>
                <w:b/>
                <w:bCs/>
                <w:sz w:val="24"/>
                <w:szCs w:val="24"/>
                <w:highlight w:val="none"/>
              </w:rPr>
            </w:pPr>
            <w:r>
              <w:rPr>
                <w:rFonts w:ascii="宋体" w:hAnsi="宋体" w:eastAsia="宋体" w:cs="宋体"/>
                <w:b/>
                <w:bCs/>
                <w:sz w:val="24"/>
                <w:szCs w:val="24"/>
                <w:highlight w:val="none"/>
              </w:rPr>
              <w:t>本产品最短持有期为【180】个自然日。</w:t>
            </w:r>
          </w:p>
          <w:p>
            <w:pPr>
              <w:spacing w:line="300" w:lineRule="auto"/>
              <w:rPr>
                <w:rFonts w:hint="eastAsia" w:ascii="宋体" w:hAnsi="宋体" w:eastAsia="宋体"/>
                <w:sz w:val="24"/>
                <w:szCs w:val="24"/>
                <w:highlight w:val="none"/>
              </w:rPr>
            </w:pPr>
            <w:r>
              <w:rPr>
                <w:rFonts w:ascii="宋体" w:hAnsi="宋体" w:eastAsia="宋体" w:cs="宋体"/>
                <w:b/>
                <w:bCs/>
                <w:sz w:val="24"/>
                <w:szCs w:val="24"/>
                <w:highlight w:val="none"/>
              </w:rPr>
              <w:t>投资者每笔认/申购份额自产品成立日（对认购份额而言）或申购申请对应的确认日T日起，最短需持有180个自然日，最短持有期结束日为第T+179个自然日，若第T+179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由于最短持有期结束日遇非开放日顺延至下一开放日等原因，投资者最短持有期实际上可能长于180个自然日。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本理财产品交易时间为每个开放日的【09：00-15：30（不含）】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8"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1"/>
                <w:numId w:val="0"/>
              </w:numPr>
              <w:spacing w:line="240" w:lineRule="auto"/>
              <w:rPr>
                <w:rFonts w:ascii="宋体" w:hAnsi="宋体" w:eastAsia="宋体"/>
                <w:sz w:val="24"/>
                <w:szCs w:val="24"/>
                <w:highlight w:val="none"/>
              </w:rPr>
            </w:pPr>
            <w:r>
              <w:rPr>
                <w:rFonts w:ascii="宋体" w:hAnsi="宋体" w:eastAsia="宋体"/>
                <w:sz w:val="24"/>
                <w:szCs w:val="24"/>
                <w:highlight w:val="none"/>
              </w:rPr>
              <w:t>（1）申购。投资者在开放日【09：00-</w:t>
            </w:r>
            <w:r>
              <w:rPr>
                <w:rFonts w:hint="eastAsia" w:ascii="宋体" w:hAnsi="宋体" w:eastAsia="宋体"/>
                <w:sz w:val="24"/>
                <w:szCs w:val="24"/>
                <w:highlight w:val="none"/>
                <w:lang w:eastAsia="zh-CN"/>
              </w:rPr>
              <w:t>15:30</w:t>
            </w:r>
            <w:r>
              <w:rPr>
                <w:rFonts w:ascii="宋体" w:hAnsi="宋体" w:eastAsia="宋体"/>
                <w:sz w:val="24"/>
                <w:szCs w:val="24"/>
                <w:highlight w:val="none"/>
              </w:rPr>
              <w:t>（不含）】提交的申购申请，视为该开放日的申购申请，管理人以该开放日份额净值进行确认，确认日为该申请对应开放日后的第【1】个交易日；本开放日【</w:t>
            </w:r>
            <w:r>
              <w:rPr>
                <w:rFonts w:hint="eastAsia" w:ascii="宋体" w:hAnsi="宋体" w:eastAsia="宋体"/>
                <w:sz w:val="24"/>
                <w:szCs w:val="24"/>
                <w:highlight w:val="none"/>
                <w:lang w:eastAsia="zh-CN"/>
              </w:rPr>
              <w:t>15:30</w:t>
            </w:r>
            <w:r>
              <w:rPr>
                <w:rFonts w:ascii="宋体" w:hAnsi="宋体" w:eastAsia="宋体"/>
                <w:sz w:val="24"/>
                <w:szCs w:val="24"/>
                <w:highlight w:val="none"/>
              </w:rPr>
              <w:t>】至下一开放日【09:00】（不含）提交的申购申请，视为下一开放日的申购申请，管理人以下一开放日的份额净值进行确认，确认日为下一开放日后的第【1】个交易日。</w:t>
            </w:r>
          </w:p>
          <w:p>
            <w:pPr>
              <w:numPr>
                <w:ilvl w:val="-1"/>
                <w:numId w:val="0"/>
              </w:numPr>
              <w:spacing w:line="240" w:lineRule="auto"/>
              <w:rPr>
                <w:highlight w:val="none"/>
              </w:rPr>
            </w:pPr>
            <w:r>
              <w:rPr>
                <w:rFonts w:ascii="宋体" w:hAnsi="宋体" w:eastAsia="宋体"/>
                <w:sz w:val="24"/>
                <w:szCs w:val="24"/>
                <w:highlight w:val="none"/>
              </w:rPr>
              <w:t>（2）赎回。投资者在开放日【09：00-</w:t>
            </w:r>
            <w:r>
              <w:rPr>
                <w:rFonts w:hint="eastAsia" w:ascii="宋体" w:hAnsi="宋体" w:eastAsia="宋体"/>
                <w:sz w:val="24"/>
                <w:szCs w:val="24"/>
                <w:highlight w:val="none"/>
                <w:lang w:eastAsia="zh-CN"/>
              </w:rPr>
              <w:t>15:30</w:t>
            </w:r>
            <w:r>
              <w:rPr>
                <w:rFonts w:ascii="宋体" w:hAnsi="宋体" w:eastAsia="宋体"/>
                <w:sz w:val="24"/>
                <w:szCs w:val="24"/>
                <w:highlight w:val="none"/>
              </w:rPr>
              <w:t>（不含）】提交的赎回申请，视为该开放日的赎回申请，管理人以该开放日份额净值进行确认，确认日为该申请对应开放日后的第【1】个交易日；本开放日【</w:t>
            </w:r>
            <w:r>
              <w:rPr>
                <w:rFonts w:hint="eastAsia" w:ascii="宋体" w:hAnsi="宋体" w:eastAsia="宋体"/>
                <w:sz w:val="24"/>
                <w:szCs w:val="24"/>
                <w:highlight w:val="none"/>
                <w:lang w:eastAsia="zh-CN"/>
              </w:rPr>
              <w:t>15:30</w:t>
            </w:r>
            <w:r>
              <w:rPr>
                <w:rFonts w:ascii="宋体" w:hAnsi="宋体" w:eastAsia="宋体"/>
                <w:sz w:val="24"/>
                <w:szCs w:val="24"/>
                <w:highlight w:val="none"/>
              </w:rPr>
              <w:t>】至下一开放日【09:00】（不含）提交的赎回申请，视为下一开放日的赎回申请，管理人以下一开放日的份额净值进行确认，确认日为下一开放日后的第【1】个交易日。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numPr>
                <w:ilvl w:val="-1"/>
                <w:numId w:val="0"/>
              </w:numPr>
              <w:spacing w:line="240" w:lineRule="auto"/>
              <w:rPr>
                <w:highlight w:val="none"/>
              </w:rPr>
            </w:pPr>
            <w:r>
              <w:rPr>
                <w:rFonts w:hint="eastAsia" w:ascii="宋体" w:hAnsi="宋体" w:eastAsia="宋体" w:cs="宋体"/>
                <w:b/>
                <w:bCs/>
                <w:sz w:val="24"/>
                <w:highlight w:val="none"/>
              </w:rPr>
              <w:t>管理人有权临时暂停申购、赎回。</w:t>
            </w:r>
          </w:p>
          <w:p>
            <w:pPr>
              <w:numPr>
                <w:ilvl w:val="-1"/>
                <w:numId w:val="0"/>
              </w:numPr>
              <w:spacing w:line="24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巨额赎回</w:t>
            </w:r>
          </w:p>
        </w:tc>
        <w:tc>
          <w:tcPr>
            <w:tcW w:w="6096" w:type="dxa"/>
            <w:vAlign w:val="center"/>
          </w:tcPr>
          <w:p>
            <w:pPr>
              <w:spacing w:line="300" w:lineRule="auto"/>
              <w:rPr>
                <w:rFonts w:hint="eastAsia" w:ascii="宋体" w:hAnsi="宋体" w:eastAsia="宋体" w:cs="宋体"/>
                <w:b/>
                <w:bCs/>
                <w:sz w:val="24"/>
                <w:szCs w:val="24"/>
                <w:highlight w:val="none"/>
              </w:rPr>
            </w:pPr>
            <w:r>
              <w:rPr>
                <w:rFonts w:ascii="宋体" w:hAnsi="宋体" w:eastAsia="宋体" w:cs="宋体"/>
                <w:b/>
                <w:bCs/>
                <w:sz w:val="24"/>
                <w:szCs w:val="24"/>
                <w:highlight w:val="none"/>
              </w:rPr>
              <w:t>投资者可</w:t>
            </w:r>
            <w:r>
              <w:rPr>
                <w:rFonts w:hint="eastAsia" w:ascii="宋体" w:hAnsi="宋体" w:eastAsia="宋体" w:cs="宋体"/>
                <w:b/>
                <w:bCs/>
                <w:sz w:val="24"/>
                <w:szCs w:val="24"/>
                <w:highlight w:val="none"/>
              </w:rPr>
              <w:t>在满足最短持有期后</w:t>
            </w:r>
            <w:r>
              <w:rPr>
                <w:rFonts w:ascii="宋体" w:hAnsi="宋体" w:eastAsia="宋体" w:cs="宋体"/>
                <w:b/>
                <w:bCs/>
                <w:sz w:val="24"/>
                <w:szCs w:val="24"/>
                <w:highlight w:val="none"/>
              </w:rPr>
              <w:t>于</w:t>
            </w:r>
            <w:r>
              <w:rPr>
                <w:rFonts w:hint="eastAsia" w:ascii="宋体" w:hAnsi="宋体" w:eastAsia="宋体" w:cs="宋体"/>
                <w:b/>
                <w:bCs/>
                <w:sz w:val="24"/>
                <w:szCs w:val="24"/>
                <w:highlight w:val="none"/>
              </w:rPr>
              <w:t>开放日</w:t>
            </w:r>
            <w:r>
              <w:rPr>
                <w:rFonts w:ascii="宋体" w:hAnsi="宋体" w:eastAsia="宋体" w:cs="宋体"/>
                <w:b/>
                <w:bCs/>
                <w:sz w:val="24"/>
                <w:szCs w:val="24"/>
                <w:highlight w:val="none"/>
              </w:rPr>
              <w:t>向销售服务机构提出赎回申请</w:t>
            </w:r>
            <w:r>
              <w:rPr>
                <w:rFonts w:hint="eastAsia" w:ascii="宋体" w:hAnsi="宋体" w:eastAsia="宋体" w:cs="宋体"/>
                <w:b/>
                <w:bCs/>
                <w:sz w:val="24"/>
                <w:szCs w:val="24"/>
                <w:highlight w:val="none"/>
              </w:rPr>
              <w:t>。</w:t>
            </w:r>
            <w:r>
              <w:rPr>
                <w:rFonts w:ascii="宋体" w:hAnsi="宋体" w:eastAsia="宋体" w:cs="宋体"/>
                <w:b/>
                <w:bCs/>
                <w:sz w:val="24"/>
                <w:szCs w:val="24"/>
                <w:highlight w:val="none"/>
              </w:rPr>
              <w:t>在</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存续期内，若</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单个开放日净赎回申请份额（赎回申请份额总数扣除申购申请份额总数）超过本</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上一交易日日终份额的10%时，即为发生巨额赎回。</w:t>
            </w:r>
          </w:p>
          <w:p>
            <w:pPr>
              <w:spacing w:line="300" w:lineRule="auto"/>
              <w:rPr>
                <w:rFonts w:hint="eastAsia" w:ascii="宋体" w:hAnsi="宋体" w:eastAsia="宋体"/>
                <w:b/>
                <w:bCs/>
                <w:sz w:val="24"/>
                <w:szCs w:val="24"/>
                <w:highlight w:val="none"/>
              </w:rPr>
            </w:pPr>
            <w:r>
              <w:rPr>
                <w:rFonts w:ascii="宋体" w:hAnsi="宋体" w:eastAsia="宋体" w:cs="宋体"/>
                <w:b/>
                <w:bCs/>
                <w:sz w:val="24"/>
                <w:szCs w:val="24"/>
                <w:highlight w:val="none"/>
              </w:rPr>
              <w:t>在发生巨额赎回及连续</w:t>
            </w:r>
            <w:r>
              <w:rPr>
                <w:rFonts w:hint="eastAsia" w:ascii="宋体" w:hAnsi="宋体" w:eastAsia="宋体" w:cs="宋体"/>
                <w:b/>
                <w:bCs/>
                <w:sz w:val="24"/>
                <w:szCs w:val="24"/>
                <w:highlight w:val="none"/>
              </w:rPr>
              <w:t>2个开放日（含）及以上发生</w:t>
            </w:r>
            <w:r>
              <w:rPr>
                <w:rFonts w:ascii="宋体" w:hAnsi="宋体" w:eastAsia="宋体" w:cs="宋体"/>
                <w:b/>
                <w:bCs/>
                <w:sz w:val="24"/>
                <w:szCs w:val="24"/>
                <w:highlight w:val="none"/>
              </w:rPr>
              <w:t>巨额赎回时</w:t>
            </w:r>
            <w:r>
              <w:rPr>
                <w:rFonts w:hint="eastAsia" w:ascii="宋体" w:hAnsi="宋体" w:eastAsia="宋体" w:cs="宋体"/>
                <w:b/>
                <w:bCs/>
                <w:sz w:val="24"/>
                <w:szCs w:val="24"/>
                <w:highlight w:val="none"/>
              </w:rPr>
              <w:t>，产品</w:t>
            </w:r>
            <w:r>
              <w:rPr>
                <w:rFonts w:ascii="宋体" w:hAnsi="宋体" w:eastAsia="宋体" w:cs="宋体"/>
                <w:b/>
                <w:bCs/>
                <w:sz w:val="24"/>
                <w:szCs w:val="24"/>
                <w:highlight w:val="none"/>
              </w:rPr>
              <w:t>管理人有权依照</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当时的资产组合状况选择全额赎回、部分赎回或延缓支付赎回款项。详细内容见本《产品说明书》之“</w:t>
            </w:r>
            <w:r>
              <w:rPr>
                <w:rFonts w:hint="eastAsia" w:ascii="宋体" w:hAnsi="宋体" w:cs="宋体"/>
                <w:b/>
                <w:bCs/>
                <w:sz w:val="24"/>
                <w:highlight w:val="none"/>
              </w:rPr>
              <w:t>五、交易规则</w:t>
            </w:r>
            <w:r>
              <w:rPr>
                <w:rFonts w:ascii="宋体" w:hAnsi="宋体" w:eastAsia="宋体" w:cs="宋体"/>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】：年化【</w:t>
            </w:r>
            <w:r>
              <w:rPr>
                <w:rFonts w:hint="eastAsia" w:ascii="宋体" w:hAnsi="宋体" w:eastAsia="宋体" w:cs="宋体"/>
                <w:sz w:val="24"/>
                <w:szCs w:val="24"/>
                <w:highlight w:val="none"/>
                <w:lang w:val="en-US" w:eastAsia="zh-CN"/>
              </w:rPr>
              <w:t>1.50</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2.50</w:t>
            </w:r>
            <w:r>
              <w:rPr>
                <w:rFonts w:hint="eastAsia" w:ascii="宋体" w:hAnsi="宋体" w:eastAsia="宋体" w:cs="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以理财产品投资固定收益类资产不低于80%，同时根据当前市场环境下大类资产合意配置比例及大类资产收益情况，考虑杠杆和费率等因素，并结合产品投资策略，按照投资者持有份额满180天及以上的情况进行测算。</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理财产品费用</w:t>
            </w:r>
          </w:p>
        </w:tc>
        <w:tc>
          <w:tcPr>
            <w:tcW w:w="6096" w:type="dxa"/>
            <w:vAlign w:val="center"/>
          </w:tcPr>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2.申购费:本理财产品不收取申购费；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3.赎回费：本理财产品不收取赎回费；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w:t>
            </w:r>
            <w:r>
              <w:rPr>
                <w:rFonts w:hint="eastAsia" w:ascii="宋体" w:hAnsi="宋体" w:eastAsia="宋体"/>
                <w:sz w:val="24"/>
                <w:szCs w:val="24"/>
                <w:highlight w:val="none"/>
                <w:lang w:eastAsia="zh-CN"/>
              </w:rPr>
              <w:t>0.60</w:t>
            </w:r>
            <w:r>
              <w:rPr>
                <w:rFonts w:hint="eastAsia" w:ascii="宋体" w:hAnsi="宋体" w:eastAsia="宋体"/>
                <w:sz w:val="24"/>
                <w:szCs w:val="24"/>
                <w:highlight w:val="none"/>
              </w:rPr>
              <w:t>】%/年；</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管理人有权根据不同销售服务机构</w:t>
            </w:r>
            <w:r>
              <w:rPr>
                <w:rFonts w:ascii="宋体" w:hAnsi="宋体" w:eastAsia="宋体"/>
                <w:sz w:val="24"/>
                <w:szCs w:val="24"/>
                <w:highlight w:val="none"/>
              </w:rPr>
              <w:t>/</w:t>
            </w:r>
            <w:r>
              <w:rPr>
                <w:rFonts w:hint="eastAsia" w:ascii="宋体" w:hAnsi="宋体" w:eastAsia="宋体"/>
                <w:sz w:val="24"/>
                <w:szCs w:val="24"/>
                <w:highlight w:val="none"/>
              </w:rPr>
              <w:t>销售渠道</w:t>
            </w:r>
            <w:r>
              <w:rPr>
                <w:rFonts w:ascii="宋体" w:hAnsi="宋体" w:eastAsia="宋体"/>
                <w:sz w:val="24"/>
                <w:szCs w:val="24"/>
                <w:highlight w:val="none"/>
              </w:rPr>
              <w:t>/</w:t>
            </w:r>
            <w:r>
              <w:rPr>
                <w:rFonts w:hint="eastAsia" w:ascii="宋体" w:hAnsi="宋体" w:eastAsia="宋体"/>
                <w:sz w:val="24"/>
                <w:szCs w:val="24"/>
                <w:highlight w:val="none"/>
              </w:rPr>
              <w:t>份额类别设置不同的销售服务费率。</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.固定</w:t>
            </w:r>
            <w:r>
              <w:rPr>
                <w:rFonts w:ascii="宋体" w:hAnsi="宋体" w:eastAsia="宋体"/>
                <w:sz w:val="24"/>
                <w:szCs w:val="24"/>
                <w:highlight w:val="none"/>
              </w:rPr>
              <w:t>管理费：</w:t>
            </w:r>
            <w:r>
              <w:rPr>
                <w:rFonts w:hint="eastAsia" w:ascii="宋体" w:hAnsi="宋体" w:eastAsia="宋体"/>
                <w:sz w:val="24"/>
                <w:szCs w:val="24"/>
                <w:highlight w:val="none"/>
              </w:rPr>
              <w:t>【</w:t>
            </w:r>
            <w:r>
              <w:rPr>
                <w:rFonts w:hint="eastAsia" w:ascii="宋体" w:hAnsi="宋体" w:eastAsia="宋体"/>
                <w:sz w:val="24"/>
                <w:szCs w:val="24"/>
                <w:highlight w:val="none"/>
                <w:lang w:eastAsia="zh-CN"/>
              </w:rPr>
              <w:t>0.60</w:t>
            </w:r>
            <w:r>
              <w:rPr>
                <w:rFonts w:hint="eastAsia" w:ascii="宋体" w:hAnsi="宋体" w:eastAsia="宋体"/>
                <w:sz w:val="24"/>
                <w:szCs w:val="24"/>
                <w:highlight w:val="none"/>
              </w:rPr>
              <w:t>】%/年；</w:t>
            </w:r>
          </w:p>
          <w:p>
            <w:pPr>
              <w:widowControl/>
              <w:numPr>
                <w:ilvl w:val="255"/>
                <w:numId w:val="0"/>
              </w:num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.托管费：【0.01】%/年；</w:t>
            </w:r>
          </w:p>
          <w:p>
            <w:pPr>
              <w:numPr>
                <w:ilvl w:val="255"/>
                <w:numId w:val="0"/>
              </w:numPr>
              <w:spacing w:line="300" w:lineRule="auto"/>
              <w:outlineLvl w:val="0"/>
              <w:rPr>
                <w:rFonts w:hint="eastAsia" w:ascii="宋体" w:hAnsi="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.超额业绩报酬:本理财产品【不】收取超额业绩报酬</w:t>
            </w:r>
            <w:r>
              <w:rPr>
                <w:rFonts w:hint="eastAsia"/>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(4)投资于境外金融资产和金融工具的QDII资产管理产品。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r>
              <w:rPr>
                <w:rFonts w:hint="eastAsia"/>
                <w:highlight w:val="none"/>
              </w:rPr>
              <w:t>】</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【80%-100%】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rPr>
              <w:t>【0%-20%】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highlight w:val="none"/>
              </w:rPr>
            </w:pPr>
            <w:r>
              <w:rPr>
                <w:rFonts w:hint="eastAsia" w:ascii="宋体" w:hAnsi="宋体" w:eastAsia="宋体"/>
                <w:sz w:val="24"/>
                <w:szCs w:val="24"/>
                <w:highlight w:val="none"/>
              </w:rPr>
              <w:t>【商品及金融衍生品类】</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【0%-20%】</w:t>
            </w:r>
          </w:p>
        </w:tc>
      </w:tr>
    </w:tbl>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本理财产品建仓期为1</w:t>
      </w:r>
      <w:r>
        <w:rPr>
          <w:rFonts w:hint="eastAsia" w:ascii="宋体" w:hAnsi="宋体" w:eastAsia="宋体"/>
          <w:sz w:val="24"/>
          <w:szCs w:val="24"/>
          <w:highlight w:val="none"/>
          <w:lang w:val="en-US" w:eastAsia="zh-CN"/>
        </w:rPr>
        <w:t>个月</w:t>
      </w:r>
      <w:r>
        <w:rPr>
          <w:rFonts w:hint="eastAsia" w:ascii="宋体" w:hAnsi="宋体" w:eastAsia="宋体"/>
          <w:sz w:val="24"/>
          <w:szCs w:val="24"/>
          <w:highlight w:val="none"/>
        </w:rPr>
        <w:t>，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本理财产品将主要投资稳定保持中短久期的债券资产组合，并通过调整资产组合的期限搭配、品种结构、场所摆布等对组合进行动态优化，同时重点发挥公司投研体系及风控能力优势，加强市场研判，优选信用债投资机会，并择机配置权益类资产，在控制信用风险及收益波动幅度的前提下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期：【2025】年【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15</w:t>
      </w:r>
      <w:r>
        <w:rPr>
          <w:rFonts w:ascii="宋体" w:hAnsi="宋体" w:eastAsia="宋体"/>
          <w:sz w:val="24"/>
          <w:szCs w:val="24"/>
          <w:highlight w:val="none"/>
        </w:rPr>
        <w:t>】日【09:00】至【2025】年【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19</w:t>
      </w:r>
      <w:r>
        <w:rPr>
          <w:rFonts w:ascii="宋体" w:hAnsi="宋体" w:eastAsia="宋体"/>
          <w:sz w:val="24"/>
          <w:szCs w:val="24"/>
          <w:highlight w:val="none"/>
        </w:rPr>
        <w:t>】日【15:30】</w:t>
      </w:r>
      <w:r>
        <w:rPr>
          <w:rFonts w:hint="eastAsia" w:ascii="宋体" w:hAnsi="宋体" w:eastAsia="宋体"/>
          <w:sz w:val="24"/>
          <w:szCs w:val="24"/>
          <w:highlight w:val="none"/>
        </w:rPr>
        <w:t>，</w:t>
      </w:r>
      <w:r>
        <w:rPr>
          <w:rFonts w:hint="eastAsia"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】：在认购期内，首次认购起点金额为【1】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，单一机构投资者持有上限【/】元。</w:t>
      </w:r>
    </w:p>
    <w:p>
      <w:pPr>
        <w:spacing w:line="30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ind w:firstLine="480" w:firstLineChars="200"/>
        <w:jc w:val="left"/>
        <w:rPr>
          <w:rFonts w:ascii="宋体" w:hAnsi="宋体" w:eastAsia="宋体" w:cs="宋体"/>
          <w:sz w:val="24"/>
          <w:szCs w:val="24"/>
          <w:highlight w:val="none"/>
        </w:rPr>
      </w:pPr>
      <w:r>
        <w:rPr>
          <w:rFonts w:hint="eastAsia" w:ascii="宋体" w:hAnsi="宋体" w:cs="宋体"/>
          <w:sz w:val="24"/>
          <w:highlight w:val="none"/>
        </w:rPr>
        <w:t>2.</w:t>
      </w:r>
      <w:r>
        <w:rPr>
          <w:rFonts w:ascii="宋体" w:hAnsi="宋体" w:eastAsia="宋体" w:cs="宋体"/>
          <w:sz w:val="24"/>
          <w:szCs w:val="24"/>
          <w:highlight w:val="none"/>
        </w:rPr>
        <w:t>最短持有期和最短持有期结束日：本产品最短持有期为【180】个自然日。</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cs="宋体"/>
          <w:sz w:val="24"/>
          <w:szCs w:val="24"/>
          <w:highlight w:val="none"/>
        </w:rPr>
        <w:t>投资者每笔认/申购份额自产品成立日（对认购份额而言）或申购申请对应的确认日T日起，最短需持有180个自然日，最短持有期结束日为第T+179个自然日，若第T+179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由于最短持有期结束日遇非开放日顺延至下一开放日等原因，投资者最短持有期实际上可能长于180个自然日。以上规则如有调整，以</w:t>
      </w:r>
      <w:r>
        <w:rPr>
          <w:rFonts w:hint="eastAsia" w:ascii="宋体" w:hAnsi="宋体" w:eastAsia="宋体" w:cs="宋体"/>
          <w:sz w:val="24"/>
          <w:szCs w:val="24"/>
          <w:highlight w:val="none"/>
        </w:rPr>
        <w:t>渤银</w:t>
      </w:r>
      <w:r>
        <w:rPr>
          <w:rFonts w:ascii="宋体" w:hAnsi="宋体" w:eastAsia="宋体" w:cs="宋体"/>
          <w:sz w:val="24"/>
          <w:szCs w:val="24"/>
          <w:highlight w:val="none"/>
        </w:rPr>
        <w:t>理财公告为准。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（1）申购。投资者在开放日【09：00-</w:t>
      </w:r>
      <w:r>
        <w:rPr>
          <w:rFonts w:hint="eastAsia" w:ascii="宋体" w:hAnsi="宋体" w:cs="宋体"/>
          <w:sz w:val="24"/>
          <w:highlight w:val="none"/>
          <w:lang w:eastAsia="zh-CN"/>
        </w:rPr>
        <w:t>15:30</w:t>
      </w:r>
      <w:r>
        <w:rPr>
          <w:rFonts w:hint="eastAsia" w:ascii="宋体" w:hAnsi="宋体" w:cs="宋体"/>
          <w:sz w:val="24"/>
          <w:highlight w:val="none"/>
        </w:rPr>
        <w:t>（不含）】提交的申购申请，视为该开放日的申购申请，管理人以该开放日份额净值进行确认，确认日为该申请对应开放日后的第【1】个交易日；本开放日【</w:t>
      </w:r>
      <w:r>
        <w:rPr>
          <w:rFonts w:hint="eastAsia" w:ascii="宋体" w:hAnsi="宋体" w:cs="宋体"/>
          <w:sz w:val="24"/>
          <w:highlight w:val="none"/>
          <w:lang w:eastAsia="zh-CN"/>
        </w:rPr>
        <w:t>15:30</w:t>
      </w:r>
      <w:r>
        <w:rPr>
          <w:rFonts w:hint="eastAsia" w:ascii="宋体" w:hAnsi="宋体" w:cs="宋体"/>
          <w:sz w:val="24"/>
          <w:highlight w:val="none"/>
        </w:rPr>
        <w:t>】至下一开放日【09:00】（不含）提交的申购申请，视为下一开放日的申购申请，管理人以下一开放日的份额净值进行确认，确认日为下一开放日后的第【1】个交易日。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（2）赎回。投资者在开放日【09：00-</w:t>
      </w:r>
      <w:r>
        <w:rPr>
          <w:rFonts w:hint="eastAsia" w:ascii="宋体" w:hAnsi="宋体" w:cs="宋体"/>
          <w:sz w:val="24"/>
          <w:highlight w:val="none"/>
          <w:lang w:eastAsia="zh-CN"/>
        </w:rPr>
        <w:t>15:30</w:t>
      </w:r>
      <w:r>
        <w:rPr>
          <w:rFonts w:hint="eastAsia" w:ascii="宋体" w:hAnsi="宋体" w:cs="宋体"/>
          <w:sz w:val="24"/>
          <w:highlight w:val="none"/>
        </w:rPr>
        <w:t>（不含）】提交的赎回申请，视为该开放日的赎回申请，管理人以该开放日份额净值进行确认，确认日为该申请对应开放日后的第【1】个交易日；本开放日【</w:t>
      </w:r>
      <w:r>
        <w:rPr>
          <w:rFonts w:hint="eastAsia" w:ascii="宋体" w:hAnsi="宋体" w:cs="宋体"/>
          <w:sz w:val="24"/>
          <w:highlight w:val="none"/>
          <w:lang w:eastAsia="zh-CN"/>
        </w:rPr>
        <w:t>15:30</w:t>
      </w:r>
      <w:r>
        <w:rPr>
          <w:rFonts w:hint="eastAsia" w:ascii="宋体" w:hAnsi="宋体" w:cs="宋体"/>
          <w:sz w:val="24"/>
          <w:highlight w:val="none"/>
        </w:rPr>
        <w:t>】至下一开放日【09:00】（不含）提交的赎回申请，视为下一开放日的赎回申请，管理人以下一开放日的份额净值进行确认，确认日为下一开放日后的第【1】个交易日。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4</w:t>
      </w:r>
      <w:r>
        <w:rPr>
          <w:rFonts w:hint="eastAsia" w:ascii="宋体" w:hAnsi="宋体" w:cs="宋体"/>
          <w:sz w:val="24"/>
          <w:highlight w:val="none"/>
        </w:rPr>
        <w:t>.撤单：投资者提交的申购、赎回申请，在确认成功之前可以撤销，具体以销售服务机构说明或公布的操作方式为准。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5</w:t>
      </w:r>
      <w:r>
        <w:rPr>
          <w:rFonts w:hint="eastAsia" w:ascii="宋体" w:hAnsi="宋体" w:cs="宋体"/>
          <w:sz w:val="24"/>
          <w:highlight w:val="none"/>
        </w:rPr>
        <w:t>.申购、赎回费用：本理财产品不收取申购费、赎回费。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6</w:t>
      </w:r>
      <w:r>
        <w:rPr>
          <w:rFonts w:hint="eastAsia" w:ascii="宋体" w:hAnsi="宋体" w:cs="宋体"/>
          <w:sz w:val="24"/>
          <w:highlight w:val="none"/>
        </w:rPr>
        <w:t>.申购金额：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w:t>
      </w:r>
      <w:r>
        <w:rPr>
          <w:rFonts w:hint="eastAsia" w:ascii="宋体" w:hAnsi="宋体" w:cs="宋体"/>
          <w:sz w:val="24"/>
          <w:highlight w:val="none"/>
        </w:rPr>
        <w:t>在开放期内，首次申购起点金额为【1】元；超出部分，需以【1】元整数倍递增。追加申购起点金额为【1】元；超出部分，需以【1】元整数倍递增。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1"/>
          <w:numId w:val="0"/>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7.</w:t>
      </w: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C类份额</w:t>
      </w:r>
      <w:r>
        <w:rPr>
          <w:rFonts w:hint="eastAsia" w:ascii="宋体" w:hAnsi="宋体" w:eastAsia="宋体" w:cs="宋体"/>
          <w:sz w:val="24"/>
          <w:szCs w:val="24"/>
          <w:highlight w:val="none"/>
        </w:rPr>
        <w:t>】：</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10.</w:t>
      </w:r>
      <w:r>
        <w:rPr>
          <w:rFonts w:hint="eastAsia" w:ascii="宋体" w:hAnsi="宋体" w:cs="宋体"/>
          <w:sz w:val="24"/>
          <w:highlight w:val="none"/>
        </w:rPr>
        <w:t>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1</w:t>
      </w:r>
      <w:r>
        <w:rPr>
          <w:rFonts w:hint="eastAsia" w:ascii="宋体" w:hAnsi="宋体" w:cs="宋体"/>
          <w:b/>
          <w:bCs/>
          <w:sz w:val="24"/>
          <w:highlight w:val="none"/>
          <w:lang w:val="en-US" w:eastAsia="zh-CN"/>
        </w:rPr>
        <w:t>1.</w:t>
      </w:r>
      <w:r>
        <w:rPr>
          <w:rFonts w:hint="eastAsia" w:ascii="宋体" w:hAnsi="宋体" w:cs="宋体"/>
          <w:b/>
          <w:bCs/>
          <w:sz w:val="24"/>
          <w:highlight w:val="none"/>
        </w:rPr>
        <w:t>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2</w:t>
      </w:r>
      <w:r>
        <w:rPr>
          <w:rFonts w:hint="eastAsia" w:ascii="宋体" w:hAnsi="宋体" w:cs="宋体"/>
          <w:sz w:val="24"/>
          <w:highlight w:val="none"/>
        </w:rPr>
        <w:t>.当接受赎回申请将损害现有投资者利益的情形时，管理人有权设置赎回上限，具体请参见相关公告。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3</w:t>
      </w:r>
      <w:r>
        <w:rPr>
          <w:rFonts w:hint="eastAsia" w:ascii="宋体" w:hAnsi="宋体" w:cs="宋体"/>
          <w:sz w:val="24"/>
          <w:highlight w:val="none"/>
        </w:rPr>
        <w:t>.</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hint="eastAsia" w:ascii="宋体" w:hAnsi="宋体" w:eastAsia="宋体" w:cs="宋体"/>
          <w:sz w:val="24"/>
          <w:highlight w:val="none"/>
          <w:lang w:bidi="ar"/>
        </w:rPr>
        <w:t>/</w:t>
      </w:r>
      <w:r>
        <w:rPr>
          <w:rFonts w:hint="eastAsia" w:ascii="宋体" w:hAnsi="宋体" w:cs="宋体"/>
          <w:sz w:val="24"/>
          <w:highlight w:val="none"/>
          <w:lang w:bidi="ar"/>
        </w:rPr>
        <w:t>本理财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（四）巨额赎回的情形及处理认定</w:t>
      </w:r>
    </w:p>
    <w:p>
      <w:pPr>
        <w:numPr>
          <w:ilvl w:val="0"/>
          <w:numId w:val="8"/>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巨额赎回的认定</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cs="宋体"/>
          <w:b/>
          <w:bCs/>
          <w:sz w:val="24"/>
          <w:highlight w:val="none"/>
        </w:rPr>
        <w:t>2个开放日</w:t>
      </w:r>
      <w:r>
        <w:rPr>
          <w:rFonts w:hint="eastAsia" w:ascii="宋体" w:hAnsi="宋体" w:cs="宋体"/>
          <w:b/>
          <w:bCs/>
          <w:sz w:val="24"/>
          <w:highlight w:val="none"/>
        </w:rPr>
        <w:t>（</w:t>
      </w:r>
      <w:r>
        <w:rPr>
          <w:rFonts w:ascii="宋体" w:hAnsi="宋体" w:cs="宋体"/>
          <w:b/>
          <w:bCs/>
          <w:sz w:val="24"/>
          <w:highlight w:val="none"/>
        </w:rPr>
        <w:t>含</w:t>
      </w:r>
      <w:r>
        <w:rPr>
          <w:rFonts w:hint="eastAsia" w:ascii="宋体" w:hAnsi="宋体" w:cs="宋体"/>
          <w:b/>
          <w:bCs/>
          <w:sz w:val="24"/>
          <w:highlight w:val="none"/>
        </w:rPr>
        <w:t>）及</w:t>
      </w:r>
      <w:r>
        <w:rPr>
          <w:rFonts w:ascii="宋体" w:hAnsi="宋体" w:cs="宋体"/>
          <w:b/>
          <w:bCs/>
          <w:sz w:val="24"/>
          <w:highlight w:val="none"/>
        </w:rPr>
        <w:t>以上发生巨额赎回</w:t>
      </w:r>
      <w:r>
        <w:rPr>
          <w:rFonts w:hint="eastAsia" w:ascii="宋体" w:hAnsi="宋体" w:cs="宋体"/>
          <w:b/>
          <w:bCs/>
          <w:sz w:val="24"/>
          <w:highlight w:val="none"/>
        </w:rPr>
        <w:t>，即为发生连续巨额赎回。</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（2）巨额赎回的处理方式</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1）全额赎回：</w:t>
      </w:r>
      <w:r>
        <w:rPr>
          <w:rFonts w:ascii="宋体" w:hAnsi="宋体" w:eastAsia="宋体" w:cs="宋体"/>
          <w:b/>
          <w:bCs/>
          <w:sz w:val="24"/>
          <w:highlight w:val="none"/>
        </w:rPr>
        <w:t>当管理人有能力支付投资者的全部赎回申请且不会对本理财产品资产净值造成较大波动时，按正常赎回程序执行。</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cs="宋体"/>
          <w:b/>
          <w:bCs/>
          <w:sz w:val="24"/>
          <w:highlight w:val="none"/>
        </w:rPr>
      </w:pPr>
      <w:r>
        <w:rPr>
          <w:rFonts w:hint="eastAsia" w:ascii="宋体" w:hAnsi="宋体" w:cs="宋体"/>
          <w:sz w:val="24"/>
          <w:highlight w:val="none"/>
        </w:rPr>
        <w:t>当发生上述拒绝或暂停接受认购/申购申请的情形时，管理人将在3个交易日内根据本产品说明书约定的信息披露方式向投资者进行信息披露。</w:t>
      </w:r>
      <w:r>
        <w:rPr>
          <w:rFonts w:hint="eastAsia" w:ascii="宋体" w:hAnsi="宋体" w:cs="宋体"/>
          <w:b/>
          <w:bCs/>
          <w:sz w:val="24"/>
          <w:highlight w:val="none"/>
        </w:rPr>
        <w:t>如果投资者的认购/申购申请被拒绝，被拒绝的认购/申购款项将在5个工作日内全额退还给投资者，扣款日至资金返还日期间不计付利息。投资者通过销售服务机构购买理财产品的，以销售服务机构的规定为准。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0"/>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rPr>
        <w:t>管理人收取理财产品固定管理费，</w:t>
      </w:r>
      <w:r>
        <w:rPr>
          <w:rFonts w:hint="eastAsia" w:ascii="宋体" w:hAnsi="宋体" w:eastAsia="宋体"/>
          <w:b/>
          <w:bCs/>
          <w:sz w:val="24"/>
          <w:szCs w:val="24"/>
          <w:highlight w:val="none"/>
          <w:lang w:bidi="ar"/>
        </w:rPr>
        <w:t>固定投资管理费率为【</w:t>
      </w:r>
      <w:r>
        <w:rPr>
          <w:rFonts w:hint="eastAsia" w:ascii="宋体" w:hAnsi="宋体" w:eastAsia="宋体"/>
          <w:b/>
          <w:bCs/>
          <w:sz w:val="24"/>
          <w:szCs w:val="24"/>
          <w:highlight w:val="none"/>
          <w:lang w:eastAsia="zh-CN" w:bidi="ar"/>
        </w:rPr>
        <w:t>0.60</w:t>
      </w:r>
      <w:r>
        <w:rPr>
          <w:rFonts w:hint="eastAsia" w:ascii="宋体" w:hAnsi="宋体" w:eastAsia="宋体"/>
          <w:b/>
          <w:bCs/>
          <w:sz w:val="24"/>
          <w:szCs w:val="24"/>
          <w:highlight w:val="none"/>
          <w:lang w:bidi="ar"/>
        </w:rPr>
        <w:t>】</w:t>
      </w:r>
      <w:r>
        <w:rPr>
          <w:rFonts w:ascii="宋体" w:hAnsi="宋体" w:eastAsia="宋体"/>
          <w:b/>
          <w:bCs/>
          <w:sz w:val="24"/>
          <w:szCs w:val="24"/>
          <w:highlight w:val="none"/>
          <w:lang w:bidi="ar"/>
        </w:rPr>
        <w:t>%/年</w:t>
      </w:r>
      <w:r>
        <w:rPr>
          <w:rFonts w:hint="eastAsia" w:ascii="宋体" w:hAnsi="宋体" w:eastAsia="宋体"/>
          <w:b/>
          <w:bCs/>
          <w:sz w:val="24"/>
          <w:szCs w:val="24"/>
          <w:highlight w:val="none"/>
        </w:rPr>
        <w:t>，每个自然日计提，按【季】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eastAsia" w:ascii="宋体" w:hAnsi="宋体" w:eastAsia="宋体"/>
          <w:b/>
          <w:bCs/>
          <w:sz w:val="24"/>
          <w:szCs w:val="24"/>
          <w:highlight w:val="none"/>
        </w:rPr>
        <w:t>小数点</w:t>
      </w:r>
      <w:r>
        <w:rPr>
          <w:rFonts w:ascii="宋体" w:hAnsi="宋体" w:eastAsia="宋体"/>
          <w:b/>
          <w:bCs/>
          <w:sz w:val="24"/>
          <w:szCs w:val="24"/>
          <w:highlight w:val="none"/>
        </w:rPr>
        <w:t>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w:t>
      </w:r>
      <w:r>
        <w:rPr>
          <w:rFonts w:ascii="宋体" w:hAnsi="宋体" w:eastAsia="宋体"/>
          <w:b/>
          <w:bCs/>
          <w:sz w:val="24"/>
          <w:szCs w:val="24"/>
          <w:highlight w:val="none"/>
        </w:rPr>
        <w:t>销售服务费：</w:t>
      </w:r>
      <w:r>
        <w:rPr>
          <w:rFonts w:hint="eastAsia" w:ascii="宋体" w:hAnsi="宋体" w:eastAsia="宋体"/>
          <w:b/>
          <w:bCs/>
          <w:sz w:val="24"/>
          <w:szCs w:val="24"/>
          <w:highlight w:val="none"/>
        </w:rPr>
        <w:t>销售服务机构收取理财产品销售服务费，</w:t>
      </w:r>
      <w:r>
        <w:rPr>
          <w:rFonts w:hint="eastAsia" w:ascii="宋体" w:hAnsi="宋体" w:eastAsia="宋体" w:cs="宋体"/>
          <w:b/>
          <w:bCs/>
          <w:sz w:val="24"/>
          <w:szCs w:val="24"/>
          <w:highlight w:val="none"/>
        </w:rPr>
        <w:t>★【</w:t>
      </w:r>
      <w:bookmarkStart w:id="0" w:name="_GoBack"/>
      <w:bookmarkEnd w:id="0"/>
      <w:r>
        <w:rPr>
          <w:rFonts w:hint="eastAsia" w:ascii="宋体" w:hAnsi="宋体" w:eastAsia="宋体"/>
          <w:b/>
          <w:bCs/>
          <w:sz w:val="24"/>
          <w:szCs w:val="24"/>
          <w:highlight w:val="none"/>
          <w:lang w:eastAsia="zh-CN"/>
        </w:rPr>
        <w:t>C类份额</w:t>
      </w:r>
      <w:r>
        <w:rPr>
          <w:rFonts w:hint="eastAsia" w:ascii="宋体" w:hAnsi="宋体" w:eastAsia="宋体"/>
          <w:b/>
          <w:bCs/>
          <w:sz w:val="24"/>
          <w:szCs w:val="24"/>
          <w:highlight w:val="none"/>
        </w:rPr>
        <w:t>】销售服务费率为【</w:t>
      </w:r>
      <w:r>
        <w:rPr>
          <w:rFonts w:hint="eastAsia" w:ascii="宋体" w:hAnsi="宋体" w:eastAsia="宋体"/>
          <w:b/>
          <w:bCs/>
          <w:sz w:val="24"/>
          <w:szCs w:val="24"/>
          <w:highlight w:val="none"/>
          <w:lang w:eastAsia="zh-CN"/>
        </w:rPr>
        <w:t>0.60</w:t>
      </w:r>
      <w:r>
        <w:rPr>
          <w:rFonts w:hint="eastAsia" w:ascii="宋体" w:hAnsi="宋体" w:eastAsia="宋体"/>
          <w:b/>
          <w:bCs/>
          <w:sz w:val="24"/>
          <w:szCs w:val="24"/>
          <w:highlight w:val="none"/>
        </w:rPr>
        <w:t>】%/年，每个自然日计提，按【季】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lang w:bidi="ar"/>
        </w:rPr>
        <w:t>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。各类份额</w:t>
      </w:r>
      <w:r>
        <w:rPr>
          <w:rFonts w:hint="eastAsia" w:ascii="宋体" w:hAnsi="宋体" w:eastAsia="宋体"/>
          <w:b/>
          <w:bCs/>
          <w:sz w:val="24"/>
          <w:szCs w:val="24"/>
          <w:highlight w:val="none"/>
          <w:lang w:bidi="ar"/>
        </w:rPr>
        <w:t>销售服费精确到小数点后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5.</w:t>
      </w:r>
      <w:r>
        <w:rPr>
          <w:rFonts w:ascii="宋体" w:hAnsi="宋体" w:eastAsia="宋体"/>
          <w:b/>
          <w:bCs/>
          <w:sz w:val="24"/>
          <w:szCs w:val="24"/>
          <w:highlight w:val="none"/>
        </w:rPr>
        <w:t>托管费：</w:t>
      </w:r>
      <w:r>
        <w:rPr>
          <w:rFonts w:hint="eastAsia"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rPr>
        <w:t>【0.01】</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季】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eastAsia" w:ascii="宋体" w:hAnsi="宋体" w:eastAsia="宋体"/>
          <w:b/>
          <w:bCs/>
          <w:sz w:val="24"/>
          <w:szCs w:val="24"/>
          <w:highlight w:val="none"/>
          <w:lang w:bidi="ar"/>
        </w:rPr>
        <w:t>每个自然日计提的托管费</w:t>
      </w:r>
      <w:r>
        <w:rPr>
          <w:rFonts w:ascii="宋体" w:hAnsi="宋体" w:eastAsia="宋体"/>
          <w:b/>
          <w:bCs/>
          <w:sz w:val="24"/>
          <w:szCs w:val="24"/>
          <w:highlight w:val="none"/>
          <w:lang w:bidi="ar"/>
        </w:rPr>
        <w:t>=</w:t>
      </w:r>
      <w:r>
        <w:rPr>
          <w:rFonts w:hint="eastAsia" w:ascii="宋体" w:hAnsi="宋体" w:eastAsia="宋体"/>
          <w:b/>
          <w:bCs/>
          <w:sz w:val="24"/>
          <w:szCs w:val="24"/>
          <w:highlight w:val="none"/>
          <w:lang w:bidi="ar"/>
        </w:rPr>
        <w:t>上一自然日理财产品净资产×托管费率</w:t>
      </w:r>
      <w:r>
        <w:rPr>
          <w:rFonts w:ascii="宋体" w:hAnsi="宋体" w:eastAsia="宋体"/>
          <w:b/>
          <w:bCs/>
          <w:sz w:val="24"/>
          <w:szCs w:val="24"/>
          <w:highlight w:val="none"/>
          <w:lang w:bidi="ar"/>
        </w:rPr>
        <w:t>÷365</w:t>
      </w:r>
      <w:r>
        <w:rPr>
          <w:rFonts w:hint="eastAsia" w:ascii="宋体" w:hAnsi="宋体" w:eastAsia="宋体"/>
          <w:b/>
          <w:bCs/>
          <w:sz w:val="24"/>
          <w:szCs w:val="24"/>
          <w:highlight w:val="none"/>
          <w:lang w:bidi="ar"/>
        </w:rPr>
        <w:t>。托管费精确到小数点后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日）后【5</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5</w:t>
      </w:r>
      <w:r>
        <w:rPr>
          <w:rFonts w:ascii="宋体" w:hAnsi="宋体" w:eastAsia="宋体"/>
          <w:sz w:val="24"/>
          <w:szCs w:val="24"/>
          <w:highlight w:val="none"/>
        </w:rPr>
        <w:t>】个工作日，清算期超过【</w:t>
      </w:r>
      <w:r>
        <w:rPr>
          <w:rFonts w:hint="eastAsia" w:ascii="宋体" w:hAnsi="宋体" w:eastAsia="宋体"/>
          <w:sz w:val="24"/>
          <w:szCs w:val="24"/>
          <w:highlight w:val="none"/>
        </w:rPr>
        <w:t>5</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本理财产品的托管人为上海浦东发展银行股份有限公司，地址为上海市中山东一路12号，托管人主要职责为提供包括账户开立、资金保管、资金清算、估值核算等理财产品托管服务。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C类份额</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cstheme="minorBidi"/>
          <w:i w:val="0"/>
          <w:iCs w:val="0"/>
          <w:caps w:val="0"/>
          <w:spacing w:val="0"/>
          <w:sz w:val="24"/>
          <w:szCs w:val="24"/>
          <w:highlight w:val="none"/>
          <w:u w:val="none"/>
        </w:rPr>
        <w:t>渣打银行（中国）有限公司</w:t>
      </w:r>
      <w:r>
        <w:rPr>
          <w:rFonts w:hint="eastAsia" w:ascii="宋体" w:hAnsi="宋体" w:eastAsia="宋体" w:cstheme="minorBidi"/>
          <w:i w:val="0"/>
          <w:iCs w:val="0"/>
          <w:caps w:val="0"/>
          <w:spacing w:val="0"/>
          <w:sz w:val="24"/>
          <w:szCs w:val="24"/>
          <w:highlight w:val="none"/>
          <w:u w:val="none"/>
          <w:lang w:eastAsia="zh-CN"/>
        </w:rPr>
        <w:t>，住所：</w:t>
      </w:r>
      <w:r>
        <w:rPr>
          <w:rFonts w:hint="eastAsia" w:ascii="宋体" w:hAnsi="宋体" w:eastAsia="宋体" w:cstheme="minorBidi"/>
          <w:i w:val="0"/>
          <w:iCs w:val="0"/>
          <w:caps w:val="0"/>
          <w:spacing w:val="0"/>
          <w:sz w:val="24"/>
          <w:szCs w:val="24"/>
          <w:highlight w:val="none"/>
          <w:u w:val="none"/>
        </w:rPr>
        <w:t>上海自由贸易试验区世纪大道201号渣打银行大厦16层（实际楼层15层）、17层2室（实际楼层16层2室）、18层1、2、3室（实际楼层17层1、2、3室）、19层2、3室（实际楼层18层2、3室）、22层1、2、4室（实际楼层21层1、2、4室）、23层1、2室（实际楼层22层1、2室）、25层1室（实际楼层23层1室）及28层（实际楼层26层）</w:t>
      </w:r>
      <w:r>
        <w:rPr>
          <w:rFonts w:hint="eastAsia" w:ascii="宋体" w:hAnsi="宋体" w:eastAsia="宋体" w:cstheme="minorBidi"/>
          <w:i w:val="0"/>
          <w:iCs w:val="0"/>
          <w:caps w:val="0"/>
          <w:spacing w:val="0"/>
          <w:sz w:val="24"/>
          <w:szCs w:val="24"/>
          <w:highlight w:val="none"/>
          <w:u w:val="none"/>
          <w:lang w:eastAsia="zh-CN"/>
        </w:rPr>
        <w:t>，</w:t>
      </w:r>
      <w:r>
        <w:rPr>
          <w:rFonts w:hint="eastAsia" w:ascii="宋体" w:hAnsi="宋体" w:eastAsia="宋体"/>
          <w:sz w:val="24"/>
          <w:szCs w:val="24"/>
          <w:highlight w:val="none"/>
        </w:rPr>
        <w:t>客户服务热线</w:t>
      </w:r>
      <w:r>
        <w:rPr>
          <w:rFonts w:hint="eastAsia" w:ascii="宋体" w:hAnsi="宋体" w:eastAsia="宋体" w:cstheme="minorBidi"/>
          <w:i w:val="0"/>
          <w:iCs w:val="0"/>
          <w:caps w:val="0"/>
          <w:spacing w:val="0"/>
          <w:sz w:val="24"/>
          <w:szCs w:val="24"/>
          <w:highlight w:val="none"/>
          <w:u w:val="none"/>
          <w:lang w:eastAsia="zh-CN"/>
        </w:rPr>
        <w:t>：956083。</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w:t>
      </w:r>
      <w:r>
        <w:rPr>
          <w:rFonts w:hint="eastAsia" w:ascii="宋体" w:hAnsi="宋体" w:eastAsia="宋体"/>
          <w:b/>
          <w:bCs/>
          <w:sz w:val="24"/>
          <w:szCs w:val="24"/>
          <w:highlight w:val="none"/>
          <w:lang w:val="en-US" w:eastAsia="zh-CN"/>
        </w:rPr>
        <w:t>调整</w:t>
      </w:r>
      <w:r>
        <w:rPr>
          <w:rFonts w:hint="eastAsia" w:ascii="宋体" w:hAnsi="宋体" w:eastAsia="宋体"/>
          <w:b/>
          <w:bCs/>
          <w:sz w:val="24"/>
          <w:szCs w:val="24"/>
          <w:highlight w:val="none"/>
        </w:rPr>
        <w:t>，以管理人公告为准。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产品管理人将在</w:t>
      </w: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lang w:eastAsia="zh-CN"/>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lang w:eastAsia="zh-CN"/>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p>
      <w:pPr>
        <w:rPr>
          <w:rFonts w:hint="eastAsia" w:ascii="宋体" w:hAnsi="宋体" w:eastAsia="宋体"/>
          <w:sz w:val="24"/>
          <w:szCs w:val="24"/>
          <w:highlight w:val="none"/>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rPr>
          <w:rFonts w:hint="eastAsia" w:ascii="宋体" w:hAnsi="宋体" w:eastAsia="宋体"/>
          <w:sz w:val="24"/>
          <w:szCs w:val="24"/>
          <w:highlight w:val="none"/>
        </w:rPr>
      </w:pPr>
    </w:p>
    <w:sectPr>
      <w:headerReference r:id="rId5" w:type="default"/>
      <w:footerReference r:id="rId6" w:type="default"/>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3C75ABA"/>
    <w:multiLevelType w:val="singleLevel"/>
    <w:tmpl w:val="63C75ABA"/>
    <w:lvl w:ilvl="0" w:tentative="0">
      <w:start w:val="1"/>
      <w:numFmt w:val="decimal"/>
      <w:suff w:val="nothing"/>
      <w:lvlText w:val="（%1）"/>
      <w:lvlJc w:val="left"/>
    </w:lvl>
  </w:abstractNum>
  <w:abstractNum w:abstractNumId="8">
    <w:nsid w:val="63C75ADF"/>
    <w:multiLevelType w:val="singleLevel"/>
    <w:tmpl w:val="63C75ADF"/>
    <w:lvl w:ilvl="0" w:tentative="0">
      <w:start w:val="2"/>
      <w:numFmt w:val="decimal"/>
      <w:suff w:val="nothing"/>
      <w:lvlText w:val="%1）"/>
      <w:lvlJc w:val="left"/>
    </w:lvl>
  </w:abstractNum>
  <w:abstractNum w:abstractNumId="9">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9"/>
  </w:num>
  <w:num w:numId="5">
    <w:abstractNumId w:val="5"/>
  </w:num>
  <w:num w:numId="6">
    <w:abstractNumId w:val="0"/>
  </w:num>
  <w:num w:numId="7">
    <w:abstractNumId w:val="1"/>
  </w:num>
  <w:num w:numId="8">
    <w:abstractNumId w:val="7"/>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43786278"/>
    <w:rsid w:val="000035A3"/>
    <w:rsid w:val="00006524"/>
    <w:rsid w:val="0001112B"/>
    <w:rsid w:val="00024CA9"/>
    <w:rsid w:val="00032C9C"/>
    <w:rsid w:val="00036E72"/>
    <w:rsid w:val="00060631"/>
    <w:rsid w:val="00061613"/>
    <w:rsid w:val="000645E4"/>
    <w:rsid w:val="00066C66"/>
    <w:rsid w:val="00087F8C"/>
    <w:rsid w:val="000A69DE"/>
    <w:rsid w:val="000B4D75"/>
    <w:rsid w:val="000C0E42"/>
    <w:rsid w:val="000D10C8"/>
    <w:rsid w:val="000E074E"/>
    <w:rsid w:val="000E25F1"/>
    <w:rsid w:val="000E5C50"/>
    <w:rsid w:val="000E7773"/>
    <w:rsid w:val="000F0D96"/>
    <w:rsid w:val="000F6272"/>
    <w:rsid w:val="00103833"/>
    <w:rsid w:val="00110210"/>
    <w:rsid w:val="00124E2B"/>
    <w:rsid w:val="0012707B"/>
    <w:rsid w:val="001421F8"/>
    <w:rsid w:val="00147E19"/>
    <w:rsid w:val="00150844"/>
    <w:rsid w:val="00163B7B"/>
    <w:rsid w:val="001807C3"/>
    <w:rsid w:val="00185F7A"/>
    <w:rsid w:val="00195677"/>
    <w:rsid w:val="001959AE"/>
    <w:rsid w:val="001A06FF"/>
    <w:rsid w:val="001A3EF5"/>
    <w:rsid w:val="001B21E7"/>
    <w:rsid w:val="001C1444"/>
    <w:rsid w:val="001E028A"/>
    <w:rsid w:val="001E1AF9"/>
    <w:rsid w:val="001F70D3"/>
    <w:rsid w:val="0021517C"/>
    <w:rsid w:val="002154F6"/>
    <w:rsid w:val="00217A1B"/>
    <w:rsid w:val="002321DC"/>
    <w:rsid w:val="00232691"/>
    <w:rsid w:val="0023414B"/>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4FF0"/>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E00C3"/>
    <w:rsid w:val="003E6814"/>
    <w:rsid w:val="00407D60"/>
    <w:rsid w:val="00415C7E"/>
    <w:rsid w:val="004225AC"/>
    <w:rsid w:val="00423C7C"/>
    <w:rsid w:val="00432667"/>
    <w:rsid w:val="0044767E"/>
    <w:rsid w:val="0045625D"/>
    <w:rsid w:val="00465DCE"/>
    <w:rsid w:val="0048653D"/>
    <w:rsid w:val="004948FE"/>
    <w:rsid w:val="00496174"/>
    <w:rsid w:val="004A1854"/>
    <w:rsid w:val="004A236F"/>
    <w:rsid w:val="004A24DE"/>
    <w:rsid w:val="004C6CAC"/>
    <w:rsid w:val="004D1068"/>
    <w:rsid w:val="004F07A5"/>
    <w:rsid w:val="004F5F9D"/>
    <w:rsid w:val="00502807"/>
    <w:rsid w:val="00502E84"/>
    <w:rsid w:val="00514F8A"/>
    <w:rsid w:val="005153AB"/>
    <w:rsid w:val="00515C52"/>
    <w:rsid w:val="00525F1E"/>
    <w:rsid w:val="00530B5B"/>
    <w:rsid w:val="0053234A"/>
    <w:rsid w:val="00534088"/>
    <w:rsid w:val="00542C95"/>
    <w:rsid w:val="005476DD"/>
    <w:rsid w:val="00567A24"/>
    <w:rsid w:val="00574352"/>
    <w:rsid w:val="00582C8E"/>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25BDB"/>
    <w:rsid w:val="00627B3B"/>
    <w:rsid w:val="006376F3"/>
    <w:rsid w:val="006428F4"/>
    <w:rsid w:val="00657B03"/>
    <w:rsid w:val="006657E6"/>
    <w:rsid w:val="00672892"/>
    <w:rsid w:val="006747AF"/>
    <w:rsid w:val="006760F2"/>
    <w:rsid w:val="006819D7"/>
    <w:rsid w:val="00683B72"/>
    <w:rsid w:val="0068684B"/>
    <w:rsid w:val="006A143E"/>
    <w:rsid w:val="006A20BE"/>
    <w:rsid w:val="006A6582"/>
    <w:rsid w:val="006A752D"/>
    <w:rsid w:val="006B4097"/>
    <w:rsid w:val="006B6209"/>
    <w:rsid w:val="006D4EEF"/>
    <w:rsid w:val="006E107C"/>
    <w:rsid w:val="006F47C1"/>
    <w:rsid w:val="006F60A6"/>
    <w:rsid w:val="00702580"/>
    <w:rsid w:val="00704562"/>
    <w:rsid w:val="00724287"/>
    <w:rsid w:val="00743FA5"/>
    <w:rsid w:val="00744E2D"/>
    <w:rsid w:val="007472A6"/>
    <w:rsid w:val="007519CB"/>
    <w:rsid w:val="00752553"/>
    <w:rsid w:val="007551B2"/>
    <w:rsid w:val="007559D4"/>
    <w:rsid w:val="0076037A"/>
    <w:rsid w:val="00761C97"/>
    <w:rsid w:val="00770105"/>
    <w:rsid w:val="00786181"/>
    <w:rsid w:val="007A3AE2"/>
    <w:rsid w:val="007A4879"/>
    <w:rsid w:val="007B0FDF"/>
    <w:rsid w:val="007B2E50"/>
    <w:rsid w:val="007B5637"/>
    <w:rsid w:val="007E10EE"/>
    <w:rsid w:val="007F2B6A"/>
    <w:rsid w:val="007F356D"/>
    <w:rsid w:val="00801041"/>
    <w:rsid w:val="00802662"/>
    <w:rsid w:val="00806874"/>
    <w:rsid w:val="00810521"/>
    <w:rsid w:val="00822719"/>
    <w:rsid w:val="00826B53"/>
    <w:rsid w:val="00830BF6"/>
    <w:rsid w:val="00842102"/>
    <w:rsid w:val="008519ED"/>
    <w:rsid w:val="008616C8"/>
    <w:rsid w:val="00863D8A"/>
    <w:rsid w:val="00865D84"/>
    <w:rsid w:val="008739B2"/>
    <w:rsid w:val="00876684"/>
    <w:rsid w:val="00880443"/>
    <w:rsid w:val="00886EED"/>
    <w:rsid w:val="00895667"/>
    <w:rsid w:val="008B40A4"/>
    <w:rsid w:val="008C69FC"/>
    <w:rsid w:val="008D54DA"/>
    <w:rsid w:val="008F0B03"/>
    <w:rsid w:val="00910843"/>
    <w:rsid w:val="0092237C"/>
    <w:rsid w:val="00923045"/>
    <w:rsid w:val="00936CA0"/>
    <w:rsid w:val="009374FA"/>
    <w:rsid w:val="00937CB2"/>
    <w:rsid w:val="00942924"/>
    <w:rsid w:val="00951F6E"/>
    <w:rsid w:val="00954DD2"/>
    <w:rsid w:val="00957DD5"/>
    <w:rsid w:val="009617AB"/>
    <w:rsid w:val="0097731B"/>
    <w:rsid w:val="00981774"/>
    <w:rsid w:val="009841CB"/>
    <w:rsid w:val="0099625C"/>
    <w:rsid w:val="009C55C9"/>
    <w:rsid w:val="009D6D2F"/>
    <w:rsid w:val="009E5A61"/>
    <w:rsid w:val="00A00099"/>
    <w:rsid w:val="00A038BE"/>
    <w:rsid w:val="00A1581A"/>
    <w:rsid w:val="00A30EE7"/>
    <w:rsid w:val="00A421B5"/>
    <w:rsid w:val="00A47D8C"/>
    <w:rsid w:val="00A52807"/>
    <w:rsid w:val="00A84465"/>
    <w:rsid w:val="00A845A7"/>
    <w:rsid w:val="00A916B7"/>
    <w:rsid w:val="00A91C60"/>
    <w:rsid w:val="00A9432D"/>
    <w:rsid w:val="00A95F46"/>
    <w:rsid w:val="00A97EAB"/>
    <w:rsid w:val="00AD4EFF"/>
    <w:rsid w:val="00AF6071"/>
    <w:rsid w:val="00B11174"/>
    <w:rsid w:val="00B40FAE"/>
    <w:rsid w:val="00B44BE6"/>
    <w:rsid w:val="00B47E14"/>
    <w:rsid w:val="00B508C1"/>
    <w:rsid w:val="00B57745"/>
    <w:rsid w:val="00B67155"/>
    <w:rsid w:val="00B72E34"/>
    <w:rsid w:val="00B90DA9"/>
    <w:rsid w:val="00B910EC"/>
    <w:rsid w:val="00BA077E"/>
    <w:rsid w:val="00BA71F0"/>
    <w:rsid w:val="00BB2A3C"/>
    <w:rsid w:val="00BC1A16"/>
    <w:rsid w:val="00BC7B12"/>
    <w:rsid w:val="00BC7FF6"/>
    <w:rsid w:val="00BD4BBA"/>
    <w:rsid w:val="00BE46E6"/>
    <w:rsid w:val="00BE7624"/>
    <w:rsid w:val="00BF175D"/>
    <w:rsid w:val="00BF73F5"/>
    <w:rsid w:val="00C00F56"/>
    <w:rsid w:val="00C13F12"/>
    <w:rsid w:val="00C1602F"/>
    <w:rsid w:val="00C24BBE"/>
    <w:rsid w:val="00C34756"/>
    <w:rsid w:val="00C43D86"/>
    <w:rsid w:val="00C44A92"/>
    <w:rsid w:val="00C5175D"/>
    <w:rsid w:val="00C53692"/>
    <w:rsid w:val="00C66903"/>
    <w:rsid w:val="00C66FFE"/>
    <w:rsid w:val="00C83FE0"/>
    <w:rsid w:val="00C85201"/>
    <w:rsid w:val="00C918BF"/>
    <w:rsid w:val="00C92C3D"/>
    <w:rsid w:val="00CB17A0"/>
    <w:rsid w:val="00CB4CCD"/>
    <w:rsid w:val="00CC3AFA"/>
    <w:rsid w:val="00CD40BE"/>
    <w:rsid w:val="00CD6285"/>
    <w:rsid w:val="00CD7962"/>
    <w:rsid w:val="00CE7029"/>
    <w:rsid w:val="00CF09F7"/>
    <w:rsid w:val="00CF19EB"/>
    <w:rsid w:val="00D12EFD"/>
    <w:rsid w:val="00D1596F"/>
    <w:rsid w:val="00D3368C"/>
    <w:rsid w:val="00D4199C"/>
    <w:rsid w:val="00D450D3"/>
    <w:rsid w:val="00D509F2"/>
    <w:rsid w:val="00D51C1B"/>
    <w:rsid w:val="00D62E7B"/>
    <w:rsid w:val="00D7058A"/>
    <w:rsid w:val="00D779BC"/>
    <w:rsid w:val="00D77C56"/>
    <w:rsid w:val="00D851F9"/>
    <w:rsid w:val="00DA3C75"/>
    <w:rsid w:val="00DB4447"/>
    <w:rsid w:val="00DC3645"/>
    <w:rsid w:val="00DD3F60"/>
    <w:rsid w:val="00DD6EEF"/>
    <w:rsid w:val="00DE03D4"/>
    <w:rsid w:val="00DE22CB"/>
    <w:rsid w:val="00DE3CCF"/>
    <w:rsid w:val="00DE4D92"/>
    <w:rsid w:val="00DF4FF1"/>
    <w:rsid w:val="00E07DC8"/>
    <w:rsid w:val="00E176A4"/>
    <w:rsid w:val="00E239F1"/>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EF5689"/>
    <w:rsid w:val="00F1681B"/>
    <w:rsid w:val="00F25332"/>
    <w:rsid w:val="00F354C2"/>
    <w:rsid w:val="00F35952"/>
    <w:rsid w:val="00F74E5E"/>
    <w:rsid w:val="00FA7E65"/>
    <w:rsid w:val="00FB63D5"/>
    <w:rsid w:val="00FC04B9"/>
    <w:rsid w:val="00FC1B19"/>
    <w:rsid w:val="00FC38C1"/>
    <w:rsid w:val="00FD0D7E"/>
    <w:rsid w:val="00FD3851"/>
    <w:rsid w:val="00FD65C7"/>
    <w:rsid w:val="00FE188F"/>
    <w:rsid w:val="00FF1FAB"/>
    <w:rsid w:val="00FF7065"/>
    <w:rsid w:val="013A07AC"/>
    <w:rsid w:val="01CC68D5"/>
    <w:rsid w:val="01FE50BC"/>
    <w:rsid w:val="02300265"/>
    <w:rsid w:val="02377367"/>
    <w:rsid w:val="02536EB3"/>
    <w:rsid w:val="027628C1"/>
    <w:rsid w:val="02E65CAB"/>
    <w:rsid w:val="032125FF"/>
    <w:rsid w:val="032E18D0"/>
    <w:rsid w:val="033011B9"/>
    <w:rsid w:val="03542B62"/>
    <w:rsid w:val="03993696"/>
    <w:rsid w:val="03A34738"/>
    <w:rsid w:val="03D6609D"/>
    <w:rsid w:val="04E93371"/>
    <w:rsid w:val="05181349"/>
    <w:rsid w:val="055B7332"/>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ED7261"/>
    <w:rsid w:val="087D641E"/>
    <w:rsid w:val="089A34C4"/>
    <w:rsid w:val="08A07369"/>
    <w:rsid w:val="08D67DE6"/>
    <w:rsid w:val="091B36AE"/>
    <w:rsid w:val="098C148C"/>
    <w:rsid w:val="09EA1F2A"/>
    <w:rsid w:val="0A0134D2"/>
    <w:rsid w:val="0A2850F6"/>
    <w:rsid w:val="0A4A3AE2"/>
    <w:rsid w:val="0A6B190B"/>
    <w:rsid w:val="0A9C5B25"/>
    <w:rsid w:val="0AC35E88"/>
    <w:rsid w:val="0B3B3C49"/>
    <w:rsid w:val="0B552CB2"/>
    <w:rsid w:val="0B66661D"/>
    <w:rsid w:val="0B7877C8"/>
    <w:rsid w:val="0BC62F1C"/>
    <w:rsid w:val="0BE97A81"/>
    <w:rsid w:val="0C576560"/>
    <w:rsid w:val="0C933759"/>
    <w:rsid w:val="0CB3034F"/>
    <w:rsid w:val="0CC2548F"/>
    <w:rsid w:val="0D9E5BE6"/>
    <w:rsid w:val="0DE03441"/>
    <w:rsid w:val="0ECC0D8A"/>
    <w:rsid w:val="0EE70D61"/>
    <w:rsid w:val="0F631318"/>
    <w:rsid w:val="0FA5251B"/>
    <w:rsid w:val="0FB8513C"/>
    <w:rsid w:val="0FBA092F"/>
    <w:rsid w:val="0FBC7FE4"/>
    <w:rsid w:val="103E6C0E"/>
    <w:rsid w:val="106B20EB"/>
    <w:rsid w:val="108D4479"/>
    <w:rsid w:val="10AD75EF"/>
    <w:rsid w:val="10F42301"/>
    <w:rsid w:val="1150266C"/>
    <w:rsid w:val="118D5786"/>
    <w:rsid w:val="12527021"/>
    <w:rsid w:val="126A20AC"/>
    <w:rsid w:val="12907E1F"/>
    <w:rsid w:val="12F03A8D"/>
    <w:rsid w:val="137B6010"/>
    <w:rsid w:val="13CD4BF1"/>
    <w:rsid w:val="13F34CA7"/>
    <w:rsid w:val="14087139"/>
    <w:rsid w:val="14391C5C"/>
    <w:rsid w:val="14694151"/>
    <w:rsid w:val="14864269"/>
    <w:rsid w:val="149013EC"/>
    <w:rsid w:val="152A2FC9"/>
    <w:rsid w:val="153D6DEC"/>
    <w:rsid w:val="159E5897"/>
    <w:rsid w:val="1617420C"/>
    <w:rsid w:val="163070EE"/>
    <w:rsid w:val="16362C2D"/>
    <w:rsid w:val="167A67DF"/>
    <w:rsid w:val="169D49D1"/>
    <w:rsid w:val="16F53929"/>
    <w:rsid w:val="176F4079"/>
    <w:rsid w:val="177F4193"/>
    <w:rsid w:val="186E5D8B"/>
    <w:rsid w:val="188075F1"/>
    <w:rsid w:val="18BC72C8"/>
    <w:rsid w:val="18F60A16"/>
    <w:rsid w:val="194A19B6"/>
    <w:rsid w:val="19F81BC6"/>
    <w:rsid w:val="1A5B3DAB"/>
    <w:rsid w:val="1AF12911"/>
    <w:rsid w:val="1B4936D1"/>
    <w:rsid w:val="1BA71B66"/>
    <w:rsid w:val="1BD20FDF"/>
    <w:rsid w:val="1C2C60FF"/>
    <w:rsid w:val="1C3950EF"/>
    <w:rsid w:val="1C516DE1"/>
    <w:rsid w:val="1D1539F9"/>
    <w:rsid w:val="1D3E52D1"/>
    <w:rsid w:val="1D3F2331"/>
    <w:rsid w:val="1D60611F"/>
    <w:rsid w:val="1D6B54AE"/>
    <w:rsid w:val="1E030DC8"/>
    <w:rsid w:val="1E352383"/>
    <w:rsid w:val="1E413716"/>
    <w:rsid w:val="1E521BF4"/>
    <w:rsid w:val="1F014117"/>
    <w:rsid w:val="1F702C25"/>
    <w:rsid w:val="1FD51345"/>
    <w:rsid w:val="1FF47788"/>
    <w:rsid w:val="2060339D"/>
    <w:rsid w:val="206904BF"/>
    <w:rsid w:val="210B020D"/>
    <w:rsid w:val="21264EDF"/>
    <w:rsid w:val="21A842C7"/>
    <w:rsid w:val="21B53BFF"/>
    <w:rsid w:val="21B948C1"/>
    <w:rsid w:val="21C959D5"/>
    <w:rsid w:val="21EB48C3"/>
    <w:rsid w:val="2252490D"/>
    <w:rsid w:val="225A3BED"/>
    <w:rsid w:val="227809D0"/>
    <w:rsid w:val="22D44351"/>
    <w:rsid w:val="2308324D"/>
    <w:rsid w:val="23361551"/>
    <w:rsid w:val="23553444"/>
    <w:rsid w:val="23E33E97"/>
    <w:rsid w:val="23EF74E8"/>
    <w:rsid w:val="245A4B65"/>
    <w:rsid w:val="24A3232E"/>
    <w:rsid w:val="2540053D"/>
    <w:rsid w:val="254861BA"/>
    <w:rsid w:val="25572EC0"/>
    <w:rsid w:val="25583F8F"/>
    <w:rsid w:val="259D2D76"/>
    <w:rsid w:val="25BE790E"/>
    <w:rsid w:val="25CF5599"/>
    <w:rsid w:val="260B5408"/>
    <w:rsid w:val="26510DDE"/>
    <w:rsid w:val="26596DA2"/>
    <w:rsid w:val="265A79C4"/>
    <w:rsid w:val="26990D3A"/>
    <w:rsid w:val="27055672"/>
    <w:rsid w:val="276D47EC"/>
    <w:rsid w:val="27A53E9F"/>
    <w:rsid w:val="27AE3794"/>
    <w:rsid w:val="27FB0559"/>
    <w:rsid w:val="293911B4"/>
    <w:rsid w:val="296C6E71"/>
    <w:rsid w:val="298D1D5A"/>
    <w:rsid w:val="29A55AC6"/>
    <w:rsid w:val="2A102E33"/>
    <w:rsid w:val="2A14318A"/>
    <w:rsid w:val="2A903B65"/>
    <w:rsid w:val="2AE835BC"/>
    <w:rsid w:val="2B4F3A96"/>
    <w:rsid w:val="2C763105"/>
    <w:rsid w:val="2C871C77"/>
    <w:rsid w:val="2C934F3A"/>
    <w:rsid w:val="2C9D73E4"/>
    <w:rsid w:val="2CA32A24"/>
    <w:rsid w:val="2CD4437F"/>
    <w:rsid w:val="2CE0580D"/>
    <w:rsid w:val="2D5C6165"/>
    <w:rsid w:val="2D95431B"/>
    <w:rsid w:val="2D9D23B7"/>
    <w:rsid w:val="2DA53D49"/>
    <w:rsid w:val="2DDD46D7"/>
    <w:rsid w:val="2E0715EA"/>
    <w:rsid w:val="2E710F25"/>
    <w:rsid w:val="2E7B4F5C"/>
    <w:rsid w:val="2F43443B"/>
    <w:rsid w:val="2F504A9E"/>
    <w:rsid w:val="2F717EA7"/>
    <w:rsid w:val="2F7C1090"/>
    <w:rsid w:val="2FB0199E"/>
    <w:rsid w:val="2FBF6F5E"/>
    <w:rsid w:val="305B3C7D"/>
    <w:rsid w:val="306A79DD"/>
    <w:rsid w:val="30820253"/>
    <w:rsid w:val="30A0380E"/>
    <w:rsid w:val="30C21AC9"/>
    <w:rsid w:val="30DE2F41"/>
    <w:rsid w:val="30E54651"/>
    <w:rsid w:val="313F2733"/>
    <w:rsid w:val="314544DD"/>
    <w:rsid w:val="314A3D5B"/>
    <w:rsid w:val="316B25B6"/>
    <w:rsid w:val="31855E3D"/>
    <w:rsid w:val="31911E35"/>
    <w:rsid w:val="31927D00"/>
    <w:rsid w:val="319C4144"/>
    <w:rsid w:val="32536E98"/>
    <w:rsid w:val="32B80440"/>
    <w:rsid w:val="32EC1E51"/>
    <w:rsid w:val="3332690B"/>
    <w:rsid w:val="334457E6"/>
    <w:rsid w:val="34982340"/>
    <w:rsid w:val="34BA214A"/>
    <w:rsid w:val="34D96E0E"/>
    <w:rsid w:val="34E058A4"/>
    <w:rsid w:val="3517466A"/>
    <w:rsid w:val="3541567F"/>
    <w:rsid w:val="35561891"/>
    <w:rsid w:val="35C42453"/>
    <w:rsid w:val="363C10A8"/>
    <w:rsid w:val="3649547D"/>
    <w:rsid w:val="36745C03"/>
    <w:rsid w:val="36BD4AB8"/>
    <w:rsid w:val="36ED3C18"/>
    <w:rsid w:val="37492D4C"/>
    <w:rsid w:val="378B661D"/>
    <w:rsid w:val="37CF70A9"/>
    <w:rsid w:val="380776D4"/>
    <w:rsid w:val="38B707F1"/>
    <w:rsid w:val="39267194"/>
    <w:rsid w:val="39897BF7"/>
    <w:rsid w:val="39CB465D"/>
    <w:rsid w:val="39D22E88"/>
    <w:rsid w:val="3A13730E"/>
    <w:rsid w:val="3A2200A7"/>
    <w:rsid w:val="3AD16475"/>
    <w:rsid w:val="3AE81C1E"/>
    <w:rsid w:val="3AF74B45"/>
    <w:rsid w:val="3B07184B"/>
    <w:rsid w:val="3BB6395F"/>
    <w:rsid w:val="3C083117"/>
    <w:rsid w:val="3C27601C"/>
    <w:rsid w:val="3C540446"/>
    <w:rsid w:val="3CBF57D4"/>
    <w:rsid w:val="3CEE5D90"/>
    <w:rsid w:val="3D2A07D7"/>
    <w:rsid w:val="3D8E5F6C"/>
    <w:rsid w:val="3DC9235F"/>
    <w:rsid w:val="3E045955"/>
    <w:rsid w:val="3E2928AA"/>
    <w:rsid w:val="3E7C30D1"/>
    <w:rsid w:val="3EC373AA"/>
    <w:rsid w:val="405139D2"/>
    <w:rsid w:val="40774519"/>
    <w:rsid w:val="4084568B"/>
    <w:rsid w:val="41451DE3"/>
    <w:rsid w:val="421C341D"/>
    <w:rsid w:val="4226002E"/>
    <w:rsid w:val="425101DD"/>
    <w:rsid w:val="425E3CE6"/>
    <w:rsid w:val="42662B39"/>
    <w:rsid w:val="42E2671F"/>
    <w:rsid w:val="42EB1794"/>
    <w:rsid w:val="43312EC1"/>
    <w:rsid w:val="43786278"/>
    <w:rsid w:val="43B006A9"/>
    <w:rsid w:val="44673A6C"/>
    <w:rsid w:val="44727382"/>
    <w:rsid w:val="4488447C"/>
    <w:rsid w:val="44E05F8D"/>
    <w:rsid w:val="45A81610"/>
    <w:rsid w:val="463D1398"/>
    <w:rsid w:val="46467996"/>
    <w:rsid w:val="467A71E9"/>
    <w:rsid w:val="46AB085B"/>
    <w:rsid w:val="46CD5B27"/>
    <w:rsid w:val="472D4AE4"/>
    <w:rsid w:val="475A0E25"/>
    <w:rsid w:val="477433AA"/>
    <w:rsid w:val="47B13336"/>
    <w:rsid w:val="47EC2593"/>
    <w:rsid w:val="481D7858"/>
    <w:rsid w:val="4844501C"/>
    <w:rsid w:val="487D0486"/>
    <w:rsid w:val="487E6827"/>
    <w:rsid w:val="488D1BB3"/>
    <w:rsid w:val="489F3B56"/>
    <w:rsid w:val="48D55C81"/>
    <w:rsid w:val="49B56187"/>
    <w:rsid w:val="4A280604"/>
    <w:rsid w:val="4AA8729E"/>
    <w:rsid w:val="4AEA731A"/>
    <w:rsid w:val="4AF56EC6"/>
    <w:rsid w:val="4B6A356B"/>
    <w:rsid w:val="4BF547E4"/>
    <w:rsid w:val="4C452A2E"/>
    <w:rsid w:val="4C70693C"/>
    <w:rsid w:val="4C957E34"/>
    <w:rsid w:val="4C9C21E9"/>
    <w:rsid w:val="4CA73341"/>
    <w:rsid w:val="4CA74208"/>
    <w:rsid w:val="4CFD5365"/>
    <w:rsid w:val="4D0B1526"/>
    <w:rsid w:val="4DCB5250"/>
    <w:rsid w:val="4F873962"/>
    <w:rsid w:val="4F92738F"/>
    <w:rsid w:val="4FA662CE"/>
    <w:rsid w:val="4FB63CF5"/>
    <w:rsid w:val="4FC17B04"/>
    <w:rsid w:val="4FFF2B45"/>
    <w:rsid w:val="500037D4"/>
    <w:rsid w:val="50205D85"/>
    <w:rsid w:val="502305CE"/>
    <w:rsid w:val="502D604A"/>
    <w:rsid w:val="50EB273B"/>
    <w:rsid w:val="50F87889"/>
    <w:rsid w:val="514B229E"/>
    <w:rsid w:val="517860F3"/>
    <w:rsid w:val="51860E9E"/>
    <w:rsid w:val="52955FB3"/>
    <w:rsid w:val="52F42575"/>
    <w:rsid w:val="53531B4B"/>
    <w:rsid w:val="536329BD"/>
    <w:rsid w:val="53647DA3"/>
    <w:rsid w:val="5414133C"/>
    <w:rsid w:val="54BA2EAE"/>
    <w:rsid w:val="54FD5792"/>
    <w:rsid w:val="55A93686"/>
    <w:rsid w:val="55E114D5"/>
    <w:rsid w:val="564A3398"/>
    <w:rsid w:val="569C6A69"/>
    <w:rsid w:val="56C4107E"/>
    <w:rsid w:val="57045D5A"/>
    <w:rsid w:val="58EC44DE"/>
    <w:rsid w:val="592120C0"/>
    <w:rsid w:val="59331502"/>
    <w:rsid w:val="594C5E66"/>
    <w:rsid w:val="599778BB"/>
    <w:rsid w:val="59E545C2"/>
    <w:rsid w:val="5A401792"/>
    <w:rsid w:val="5C1D1464"/>
    <w:rsid w:val="5C9E6A24"/>
    <w:rsid w:val="5D81625E"/>
    <w:rsid w:val="5D906BF5"/>
    <w:rsid w:val="5DB47334"/>
    <w:rsid w:val="5DC33751"/>
    <w:rsid w:val="5E172770"/>
    <w:rsid w:val="5E317753"/>
    <w:rsid w:val="5E3D0404"/>
    <w:rsid w:val="5F6E31CD"/>
    <w:rsid w:val="60286820"/>
    <w:rsid w:val="60555FE4"/>
    <w:rsid w:val="605F529C"/>
    <w:rsid w:val="60CB4152"/>
    <w:rsid w:val="60CC6CDA"/>
    <w:rsid w:val="60CD632C"/>
    <w:rsid w:val="60CF3E48"/>
    <w:rsid w:val="60F40A4B"/>
    <w:rsid w:val="610F0A2B"/>
    <w:rsid w:val="612C42F2"/>
    <w:rsid w:val="612E74FF"/>
    <w:rsid w:val="61427D4E"/>
    <w:rsid w:val="616C4576"/>
    <w:rsid w:val="61AE3C5C"/>
    <w:rsid w:val="61C1436C"/>
    <w:rsid w:val="61FD7C20"/>
    <w:rsid w:val="62153A13"/>
    <w:rsid w:val="62543634"/>
    <w:rsid w:val="6284234E"/>
    <w:rsid w:val="62AE1103"/>
    <w:rsid w:val="63075C78"/>
    <w:rsid w:val="635421F5"/>
    <w:rsid w:val="63921940"/>
    <w:rsid w:val="63990AB5"/>
    <w:rsid w:val="63F27705"/>
    <w:rsid w:val="645F16B8"/>
    <w:rsid w:val="647D06BF"/>
    <w:rsid w:val="64A0181F"/>
    <w:rsid w:val="64C54636"/>
    <w:rsid w:val="650961CA"/>
    <w:rsid w:val="650A4CE3"/>
    <w:rsid w:val="652F4849"/>
    <w:rsid w:val="653B6DB7"/>
    <w:rsid w:val="657B34F3"/>
    <w:rsid w:val="65A208EF"/>
    <w:rsid w:val="65B6240C"/>
    <w:rsid w:val="65CA0FF0"/>
    <w:rsid w:val="65CF4E2E"/>
    <w:rsid w:val="65EE2C12"/>
    <w:rsid w:val="66787AF8"/>
    <w:rsid w:val="66C47EC6"/>
    <w:rsid w:val="66D53FEE"/>
    <w:rsid w:val="66F73C73"/>
    <w:rsid w:val="67201A40"/>
    <w:rsid w:val="679B4A1A"/>
    <w:rsid w:val="680A7425"/>
    <w:rsid w:val="68224AB7"/>
    <w:rsid w:val="68371EB1"/>
    <w:rsid w:val="685A75E8"/>
    <w:rsid w:val="68615EDB"/>
    <w:rsid w:val="68D66283"/>
    <w:rsid w:val="68F52B6F"/>
    <w:rsid w:val="68FD24D6"/>
    <w:rsid w:val="69017C1D"/>
    <w:rsid w:val="691A4459"/>
    <w:rsid w:val="692D0390"/>
    <w:rsid w:val="69556EB7"/>
    <w:rsid w:val="6A0551DE"/>
    <w:rsid w:val="6A103456"/>
    <w:rsid w:val="6A120D25"/>
    <w:rsid w:val="6A2A5219"/>
    <w:rsid w:val="6AF93859"/>
    <w:rsid w:val="6B005FF4"/>
    <w:rsid w:val="6B0F5C47"/>
    <w:rsid w:val="6B125020"/>
    <w:rsid w:val="6B4500D3"/>
    <w:rsid w:val="6BD27171"/>
    <w:rsid w:val="6BFA7F32"/>
    <w:rsid w:val="6C963BCE"/>
    <w:rsid w:val="6CF1031B"/>
    <w:rsid w:val="6D36084C"/>
    <w:rsid w:val="6D6738CE"/>
    <w:rsid w:val="6DCE1423"/>
    <w:rsid w:val="6E17642D"/>
    <w:rsid w:val="6E7F31DD"/>
    <w:rsid w:val="6EB9047F"/>
    <w:rsid w:val="6EC05DE2"/>
    <w:rsid w:val="6ED802A2"/>
    <w:rsid w:val="6F0A4E44"/>
    <w:rsid w:val="6F6C51AB"/>
    <w:rsid w:val="6F8705F8"/>
    <w:rsid w:val="6FC54D50"/>
    <w:rsid w:val="701A1470"/>
    <w:rsid w:val="70294DBE"/>
    <w:rsid w:val="70516DB9"/>
    <w:rsid w:val="70572659"/>
    <w:rsid w:val="70F62EA0"/>
    <w:rsid w:val="710E46EC"/>
    <w:rsid w:val="717C6EE8"/>
    <w:rsid w:val="71B37311"/>
    <w:rsid w:val="71DE03E7"/>
    <w:rsid w:val="721D2A0D"/>
    <w:rsid w:val="722517F9"/>
    <w:rsid w:val="72631230"/>
    <w:rsid w:val="728523DB"/>
    <w:rsid w:val="72911A25"/>
    <w:rsid w:val="7375573E"/>
    <w:rsid w:val="73982F19"/>
    <w:rsid w:val="73B04906"/>
    <w:rsid w:val="73CB0206"/>
    <w:rsid w:val="73DD45C2"/>
    <w:rsid w:val="7421270C"/>
    <w:rsid w:val="742A058B"/>
    <w:rsid w:val="74BA419B"/>
    <w:rsid w:val="74D41120"/>
    <w:rsid w:val="74EA6C4B"/>
    <w:rsid w:val="751B464E"/>
    <w:rsid w:val="754F61AD"/>
    <w:rsid w:val="755C07D6"/>
    <w:rsid w:val="757E009D"/>
    <w:rsid w:val="75E87AC0"/>
    <w:rsid w:val="76754CBB"/>
    <w:rsid w:val="76B66B27"/>
    <w:rsid w:val="76DC55E6"/>
    <w:rsid w:val="76F81FC6"/>
    <w:rsid w:val="77127EBF"/>
    <w:rsid w:val="775C04C5"/>
    <w:rsid w:val="77753DAA"/>
    <w:rsid w:val="77DB2ADA"/>
    <w:rsid w:val="77DD60B4"/>
    <w:rsid w:val="782A4815"/>
    <w:rsid w:val="789828EB"/>
    <w:rsid w:val="78A9770C"/>
    <w:rsid w:val="78AB11DE"/>
    <w:rsid w:val="78D72BBA"/>
    <w:rsid w:val="79036C4A"/>
    <w:rsid w:val="792403B1"/>
    <w:rsid w:val="797804DF"/>
    <w:rsid w:val="7A6A5F33"/>
    <w:rsid w:val="7A933FC1"/>
    <w:rsid w:val="7B1153C0"/>
    <w:rsid w:val="7B43173F"/>
    <w:rsid w:val="7B4A5D58"/>
    <w:rsid w:val="7B592C5C"/>
    <w:rsid w:val="7B823B87"/>
    <w:rsid w:val="7BE105FE"/>
    <w:rsid w:val="7C4272C0"/>
    <w:rsid w:val="7CA82D21"/>
    <w:rsid w:val="7CFA17E8"/>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Normal.dotm</Template>
  <Pages>1015</Pages>
  <Words>879042</Words>
  <Characters>899865</Characters>
  <Lines>256</Lines>
  <Paragraphs>72</Paragraphs>
  <TotalTime>24</TotalTime>
  <ScaleCrop>false</ScaleCrop>
  <LinksUpToDate>false</LinksUpToDate>
  <CharactersWithSpaces>899915</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2025-04-18T02:35:00Z</dcterms:created>
  <dc:creator>xuchen.zhang</dc:creator>
  <cp:lastModifiedBy>shuo.lian</cp:lastModifiedBy>
  <dcterms:modified xsi:type="dcterms:W3CDTF">2026-03-31T07:23:40Z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551ECFD2FC4F4A318FB629520D1EAE1A_12</vt:lpwstr>
  </property>
</Properties>
</file>