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bookmarkStart w:id="3" w:name="_GoBack"/>
      <w:bookmarkEnd w:id="3"/>
      <w:r>
        <w:rPr>
          <w:rFonts w:hint="eastAsia" w:ascii="华文仿宋" w:hAnsi="华文仿宋" w:eastAsia="华文仿宋" w:cs="华文仿宋"/>
          <w:b/>
          <w:bCs/>
          <w:sz w:val="32"/>
          <w:szCs w:val="32"/>
          <w:highlight w:val="none"/>
          <w:lang w:eastAsia="zh-CN"/>
        </w:rPr>
        <w:t>渤银理财财收有略系列固定收益类一年封闭式理财产品聚兴5号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10"/>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10"/>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10"/>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10"/>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渤海银行股份有限公司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eastAsia="zh-CN"/>
        </w:rPr>
        <w:t>渤银理财财收有略系列固定收益类一年封闭式理财产品聚兴5号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7"/>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sz w:val="24"/>
                <w:szCs w:val="24"/>
                <w:highlight w:val="none"/>
                <w:lang w:eastAsia="zh-CN"/>
              </w:rPr>
              <w:t>：渤银理财财收有略系列固定收益类一年封闭式理财产品聚兴5号</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产品代码：</w:t>
            </w:r>
            <w:r>
              <w:rPr>
                <w:rFonts w:hint="eastAsia" w:ascii="宋体" w:hAnsi="宋体" w:eastAsia="宋体"/>
                <w:sz w:val="24"/>
                <w:szCs w:val="24"/>
                <w:highlight w:val="none"/>
                <w:lang w:eastAsia="zh-CN"/>
              </w:rPr>
              <w:t>CSFB1YJX005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产品销售名称：</w:t>
            </w:r>
            <w:r>
              <w:rPr>
                <w:rFonts w:hint="eastAsia" w:ascii="宋体" w:hAnsi="宋体" w:eastAsia="宋体"/>
                <w:sz w:val="24"/>
                <w:szCs w:val="24"/>
                <w:highlight w:val="none"/>
                <w:lang w:eastAsia="zh-CN"/>
              </w:rPr>
              <w:t>（上海分行专属）渤银理财财收有略一年聚兴5号</w:t>
            </w:r>
          </w:p>
          <w:p>
            <w:pPr>
              <w:spacing w:line="300" w:lineRule="auto"/>
              <w:rPr>
                <w:rFonts w:hint="eastAsia" w:ascii="宋体" w:hAnsi="宋体" w:eastAsia="宋体"/>
                <w:sz w:val="24"/>
                <w:szCs w:val="24"/>
                <w:highlight w:val="none"/>
                <w:lang w:eastAsia="zh-CN"/>
              </w:rPr>
            </w:pPr>
            <w:r>
              <w:rPr>
                <w:rFonts w:ascii="宋体" w:hAnsi="宋体" w:eastAsia="宋体"/>
                <w:sz w:val="24"/>
                <w:szCs w:val="24"/>
                <w:highlight w:val="none"/>
              </w:rPr>
              <w:t>产品</w:t>
            </w:r>
            <w:r>
              <w:rPr>
                <w:rFonts w:hint="eastAsia" w:ascii="宋体" w:hAnsi="宋体" w:eastAsia="宋体"/>
                <w:sz w:val="24"/>
                <w:szCs w:val="24"/>
                <w:highlight w:val="none"/>
              </w:rPr>
              <w:t>销售代码：</w:t>
            </w:r>
            <w:r>
              <w:rPr>
                <w:rFonts w:hint="eastAsia" w:ascii="宋体" w:hAnsi="宋体" w:eastAsia="宋体"/>
                <w:sz w:val="24"/>
                <w:szCs w:val="24"/>
                <w:highlight w:val="none"/>
                <w:lang w:eastAsia="zh-CN"/>
              </w:rPr>
              <w:t>CSFB1YJX005</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hint="default" w:ascii="宋体" w:hAnsi="宋体" w:eastAsia="宋体"/>
                <w:sz w:val="24"/>
                <w:szCs w:val="24"/>
                <w:highlight w:val="yellow"/>
                <w:lang w:val="en-US" w:eastAsia="zh-CN"/>
              </w:rPr>
            </w:pPr>
            <w:r>
              <w:rPr>
                <w:rFonts w:ascii="宋体" w:hAnsi="宋体" w:eastAsia="宋体" w:cs="宋体"/>
                <w:sz w:val="24"/>
                <w:szCs w:val="24"/>
                <w:highlight w:val="none"/>
              </w:rPr>
              <w:t>Z700842</w:t>
            </w:r>
            <w:r>
              <w:rPr>
                <w:rFonts w:hint="eastAsia" w:ascii="宋体" w:hAnsi="宋体" w:eastAsia="宋体" w:cs="宋体"/>
                <w:sz w:val="24"/>
                <w:szCs w:val="24"/>
                <w:highlight w:val="none"/>
                <w:lang w:eastAsia="zh-CN"/>
              </w:rPr>
              <w:t>6</w:t>
            </w:r>
            <w:r>
              <w:rPr>
                <w:rFonts w:ascii="宋体" w:hAnsi="宋体" w:eastAsia="宋体" w:cs="宋体"/>
                <w:sz w:val="24"/>
                <w:szCs w:val="24"/>
                <w:highlight w:val="none"/>
              </w:rPr>
              <w:t>000</w:t>
            </w:r>
            <w:r>
              <w:rPr>
                <w:rFonts w:hint="eastAsia" w:ascii="宋体" w:hAnsi="宋体" w:eastAsia="宋体" w:cs="宋体"/>
                <w:sz w:val="24"/>
                <w:szCs w:val="24"/>
                <w:highlight w:val="none"/>
                <w:lang w:val="en-US" w:eastAsia="zh-CN"/>
              </w:rPr>
              <w:t>287</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1000万元</w:t>
            </w:r>
            <w:r>
              <w:rPr>
                <w:rFonts w:hint="eastAsia" w:ascii="宋体" w:hAnsi="宋体" w:eastAsia="宋体"/>
                <w:sz w:val="24"/>
                <w:szCs w:val="24"/>
                <w:highlight w:val="none"/>
              </w:rPr>
              <w:t>】</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ascii="宋体" w:hAnsi="宋体" w:eastAsia="宋体"/>
                <w:sz w:val="24"/>
                <w:szCs w:val="24"/>
                <w:highlight w:val="none"/>
              </w:rPr>
            </w:pPr>
            <w:r>
              <w:rPr>
                <w:rFonts w:hint="eastAsia" w:ascii="宋体" w:hAnsi="宋体" w:eastAsia="宋体"/>
                <w:sz w:val="24"/>
                <w:szCs w:val="24"/>
                <w:highlight w:val="none"/>
              </w:rPr>
              <w:t>认购起点为人民币【</w:t>
            </w:r>
            <w:r>
              <w:rPr>
                <w:rFonts w:hint="eastAsia" w:ascii="宋体" w:hAnsi="宋体" w:eastAsia="宋体"/>
                <w:sz w:val="24"/>
                <w:szCs w:val="24"/>
                <w:highlight w:val="none"/>
                <w:lang w:val="en-US" w:eastAsia="zh-CN"/>
              </w:rPr>
              <w:t>50万</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单一个人投资者持有上限为【</w:t>
            </w:r>
            <w:r>
              <w:rPr>
                <w:rFonts w:hint="eastAsia" w:ascii="宋体" w:hAnsi="宋体" w:eastAsia="宋体"/>
                <w:sz w:val="24"/>
                <w:szCs w:val="24"/>
                <w:highlight w:val="none"/>
                <w:lang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3</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27</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3</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31</w:t>
            </w:r>
            <w:r>
              <w:rPr>
                <w:rFonts w:hint="eastAsia" w:ascii="宋体" w:hAnsi="宋体" w:eastAsia="宋体"/>
                <w:sz w:val="24"/>
                <w:szCs w:val="24"/>
                <w:highlight w:val="none"/>
                <w:lang w:eastAsia="zh-CN"/>
              </w:rPr>
              <w:t>】日</w:t>
            </w:r>
            <w:r>
              <w:rPr>
                <w:rFonts w:ascii="宋体" w:hAnsi="宋体" w:eastAsia="宋体"/>
                <w:sz w:val="24"/>
                <w:szCs w:val="24"/>
                <w:highlight w:val="none"/>
              </w:rPr>
              <w:t>【</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4</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4</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若有投资者购买了本产品且本产品不成立，本产品管理人最晚于产品计划成立日对产品不成立进行信息披露，在</w:t>
            </w:r>
            <w:r>
              <w:rPr>
                <w:rFonts w:hint="eastAsia" w:ascii="宋体" w:hAnsi="宋体" w:eastAsia="宋体"/>
                <w:sz w:val="24"/>
                <w:szCs w:val="24"/>
                <w:highlight w:val="none"/>
              </w:rPr>
              <w:t>认购期</w:t>
            </w:r>
            <w:r>
              <w:rPr>
                <w:rFonts w:ascii="宋体" w:hAnsi="宋体" w:eastAsia="宋体"/>
                <w:sz w:val="24"/>
                <w:szCs w:val="24"/>
                <w:highlight w:val="none"/>
              </w:rPr>
              <w:t>结束后5个工作日内，投资者认购资金（如已扣款至产品募集账户）将返还至投资者约定交易账户，在途期间投资者认购资金不计息。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2027</w:t>
            </w:r>
            <w:r>
              <w:rPr>
                <w:rFonts w:ascii="宋体" w:hAnsi="宋体" w:eastAsia="宋体"/>
                <w:sz w:val="24"/>
                <w:szCs w:val="24"/>
                <w:highlight w:val="none"/>
              </w:rPr>
              <w:t>】年【</w:t>
            </w:r>
            <w:r>
              <w:rPr>
                <w:rFonts w:hint="eastAsia" w:ascii="宋体" w:hAnsi="宋体" w:eastAsia="宋体"/>
                <w:sz w:val="24"/>
                <w:szCs w:val="24"/>
                <w:highlight w:val="none"/>
                <w:lang w:val="en-US" w:eastAsia="zh-CN"/>
              </w:rPr>
              <w:t>4</w:t>
            </w:r>
            <w:r>
              <w:rPr>
                <w:rFonts w:ascii="宋体" w:hAnsi="宋体" w:eastAsia="宋体"/>
                <w:sz w:val="24"/>
                <w:szCs w:val="24"/>
                <w:highlight w:val="none"/>
              </w:rPr>
              <w:t>】月【</w:t>
            </w:r>
            <w:r>
              <w:rPr>
                <w:rFonts w:hint="eastAsia" w:ascii="宋体" w:hAnsi="宋体" w:eastAsia="宋体"/>
                <w:sz w:val="24"/>
                <w:szCs w:val="24"/>
                <w:highlight w:val="none"/>
                <w:lang w:val="en-US" w:eastAsia="zh-CN"/>
              </w:rPr>
              <w:t>22</w:t>
            </w:r>
            <w:r>
              <w:rPr>
                <w:rFonts w:ascii="宋体" w:hAnsi="宋体" w:eastAsia="宋体"/>
                <w:sz w:val="24"/>
                <w:szCs w:val="24"/>
                <w:highlight w:val="none"/>
              </w:rPr>
              <w:t>】</w:t>
            </w:r>
            <w:r>
              <w:rPr>
                <w:rFonts w:hint="eastAsia" w:ascii="宋体" w:hAnsi="宋体" w:eastAsia="宋体"/>
                <w:sz w:val="24"/>
                <w:szCs w:val="24"/>
                <w:highlight w:val="none"/>
                <w:lang w:val="en-US"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386</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本理财产品业绩比较基准为：年化【</w:t>
            </w:r>
            <w:r>
              <w:rPr>
                <w:rFonts w:hint="eastAsia" w:ascii="宋体" w:hAnsi="宋体" w:eastAsia="宋体"/>
                <w:b/>
                <w:bCs/>
                <w:sz w:val="24"/>
                <w:szCs w:val="24"/>
                <w:highlight w:val="none"/>
                <w:lang w:val="en-US" w:eastAsia="zh-CN"/>
              </w:rPr>
              <w:t>3.15</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3.25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业绩比较基准测算依据：本理财产品为固定收益类产品，以产品投资债权类资产仓位80%-100%，组合杠杆率80%-140%为例，根据当前市场环境下资产收益情况，考虑税费等因素，综合确定本产品业绩比较基准。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30" w:type="dxa"/>
            <w:vAlign w:val="center"/>
          </w:tcPr>
          <w:p>
            <w:p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1.本理财产品</w:t>
            </w:r>
            <w:r>
              <w:rPr>
                <w:rFonts w:hint="eastAsia" w:ascii="宋体" w:hAnsi="宋体" w:eastAsia="宋体"/>
                <w:b/>
                <w:bCs/>
                <w:sz w:val="24"/>
                <w:szCs w:val="24"/>
                <w:highlight w:val="none"/>
                <w:lang w:val="en-US" w:eastAsia="zh-CN"/>
              </w:rPr>
              <w:t>不</w:t>
            </w:r>
            <w:r>
              <w:rPr>
                <w:rFonts w:hint="eastAsia" w:ascii="宋体" w:hAnsi="宋体" w:eastAsia="宋体" w:cs="宋体"/>
                <w:b/>
                <w:bCs/>
                <w:sz w:val="24"/>
                <w:szCs w:val="24"/>
                <w:highlight w:val="none"/>
              </w:rPr>
              <w:t>收取</w:t>
            </w:r>
            <w:r>
              <w:rPr>
                <w:rFonts w:hint="eastAsia" w:ascii="宋体" w:hAnsi="宋体" w:eastAsia="宋体"/>
                <w:b/>
                <w:bCs/>
                <w:sz w:val="24"/>
                <w:szCs w:val="24"/>
                <w:highlight w:val="none"/>
              </w:rPr>
              <w:t>超额业绩报酬</w:t>
            </w:r>
            <w:r>
              <w:rPr>
                <w:rFonts w:hint="eastAsia" w:ascii="宋体" w:hAnsi="宋体" w:eastAsia="宋体"/>
                <w:b/>
                <w:bCs/>
                <w:sz w:val="24"/>
                <w:szCs w:val="24"/>
                <w:highlight w:val="none"/>
                <w:lang w:eastAsia="zh-CN"/>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业绩报酬计提基准的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业绩报酬计提基准仅作为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管理人收取超额业绩报酬</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理财产品认购及存续期间，管理人有权根据市场情况的变化或投资配置方案的调整等原因，对超额业绩报酬计提基准进行调整，如有调整，具体以管理人公告为准。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2.销售服务费：【</w:t>
            </w:r>
            <w:r>
              <w:rPr>
                <w:rFonts w:hint="eastAsia" w:ascii="宋体" w:hAnsi="宋体" w:eastAsia="宋体"/>
                <w:b/>
                <w:bCs/>
                <w:sz w:val="24"/>
                <w:szCs w:val="24"/>
                <w:highlight w:val="none"/>
                <w:lang w:val="en-US" w:eastAsia="zh-CN"/>
              </w:rPr>
              <w:t>0.13</w:t>
            </w:r>
            <w:r>
              <w:rPr>
                <w:rFonts w:hint="eastAsia" w:ascii="宋体" w:hAnsi="宋体" w:eastAsia="宋体"/>
                <w:b/>
                <w:bCs/>
                <w:sz w:val="24"/>
                <w:szCs w:val="24"/>
                <w:highlight w:val="none"/>
              </w:rPr>
              <w:t>】%/年；</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0.10</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0.02</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5.超额业绩报酬:</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管理人</w:t>
            </w:r>
            <w:r>
              <w:rPr>
                <w:rFonts w:hint="eastAsia" w:ascii="宋体" w:hAnsi="宋体" w:eastAsia="宋体"/>
                <w:b/>
                <w:bCs/>
                <w:sz w:val="24"/>
                <w:szCs w:val="24"/>
                <w:highlight w:val="none"/>
                <w:lang w:val="en-US" w:eastAsia="zh-CN"/>
              </w:rPr>
              <w:t>不</w:t>
            </w:r>
            <w:r>
              <w:rPr>
                <w:rFonts w:hint="eastAsia" w:ascii="宋体" w:hAnsi="宋体" w:eastAsia="宋体"/>
                <w:b/>
                <w:bCs/>
                <w:sz w:val="24"/>
                <w:szCs w:val="24"/>
                <w:highlight w:val="none"/>
              </w:rPr>
              <w:t>收取超额业绩报酬。</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6.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7.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3.理财产品</w:t>
            </w:r>
            <w:r>
              <w:rPr>
                <w:rFonts w:hint="eastAsia" w:ascii="宋体" w:hAnsi="宋体" w:eastAsia="宋体"/>
                <w:b/>
                <w:bCs/>
                <w:sz w:val="24"/>
                <w:szCs w:val="24"/>
                <w:highlight w:val="none"/>
              </w:rPr>
              <w:t>实际</w:t>
            </w:r>
            <w:r>
              <w:rPr>
                <w:rFonts w:ascii="宋体" w:hAnsi="宋体" w:eastAsia="宋体"/>
                <w:b/>
                <w:bCs/>
                <w:sz w:val="24"/>
                <w:szCs w:val="24"/>
                <w:highlight w:val="none"/>
              </w:rPr>
              <w:t>终止日至资金到账日为终止清算期，上述清算期内均不计付</w:t>
            </w:r>
            <w:r>
              <w:rPr>
                <w:rFonts w:hint="eastAsia" w:ascii="宋体" w:hAnsi="宋体" w:eastAsia="宋体"/>
                <w:b/>
                <w:bCs/>
                <w:sz w:val="24"/>
                <w:szCs w:val="24"/>
                <w:highlight w:val="none"/>
              </w:rPr>
              <w:t>利息</w:t>
            </w:r>
            <w:r>
              <w:rPr>
                <w:rFonts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本理财产品可直接或通过资产管理计划、信托计划及基金等资产管理产品间接投资于以下符合监管要求的金融资产和金融工具，包括但不限于：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（1）固定收益类资产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现金、银行存款、同业存款、协议存款、大额存单、同业存单、资金拆借、债券回购、货币基金等货币市场工具、国债、央行票据、企业债、金融债、政策性金融债、次级债、资产支持证券、地方政府债、中期票据、短期融资券、超短期融资券、公司债、私募债、永续债、可转换债券、可交换债券、非公开定向债务融资工具(PPN)、二级资本债、债券型基金、债券型基金中基金（FOF），及其他符合监管要求的债权类资产</w:t>
      </w:r>
      <w:r>
        <w:rPr>
          <w:rFonts w:hint="eastAsia" w:ascii="宋体" w:hAnsi="宋体" w:eastAsia="宋体"/>
          <w:b w:val="0"/>
          <w:bCs w:val="0"/>
          <w:sz w:val="24"/>
          <w:szCs w:val="24"/>
          <w:highlight w:val="none"/>
          <w:lang w:eastAsia="zh-CN"/>
        </w:rPr>
        <w:t>（</w:t>
      </w:r>
      <w:r>
        <w:rPr>
          <w:rFonts w:hint="eastAsia" w:ascii="宋体" w:hAnsi="宋体" w:eastAsia="宋体"/>
          <w:b w:val="0"/>
          <w:bCs w:val="0"/>
          <w:sz w:val="24"/>
          <w:szCs w:val="24"/>
          <w:highlight w:val="none"/>
          <w:lang w:val="en-US" w:eastAsia="zh-CN"/>
        </w:rPr>
        <w:t>包括符合监管要求的各类QDII资产管理产品</w:t>
      </w:r>
      <w:r>
        <w:rPr>
          <w:rFonts w:hint="eastAsia" w:ascii="宋体" w:hAnsi="宋体" w:eastAsia="宋体"/>
          <w:b w:val="0"/>
          <w:bCs w:val="0"/>
          <w:sz w:val="24"/>
          <w:szCs w:val="24"/>
          <w:highlight w:val="none"/>
          <w:lang w:eastAsia="zh-CN"/>
        </w:rPr>
        <w:t>）</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境内的优先股、股票、股票型基金、混合型基金、QDII股票型基金、QDII混合型基金、股票型基金中基金（FOF）、混合型基金中基金（FOF）、公开募集基础设施证券投资基金（REITs）及其他符合监管要求的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（3）商品及衍生品类资产</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商品型等另类投资基金、股指期货、国债期货、商品期货、利率互换、收益互换、交易所上市期权等，及其他符合监管要求的商品及衍生品类资产（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固定收益</w:t>
            </w:r>
            <w:r>
              <w:rPr>
                <w:rFonts w:hint="eastAsia" w:ascii="宋体" w:hAnsi="宋体" w:eastAsia="宋体"/>
                <w:sz w:val="24"/>
                <w:szCs w:val="24"/>
                <w:highlight w:val="none"/>
                <w:lang w:bidi="ar"/>
              </w:rPr>
              <w:t>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cstheme="minorBidi"/>
                <w:sz w:val="24"/>
                <w:szCs w:val="24"/>
                <w:highlight w:val="none"/>
                <w:vertAlign w:val="baseline"/>
                <w:lang w:val="en-US" w:eastAsia="zh-CN" w:bidi="ar"/>
              </w:rPr>
              <w:t>80%（含）-100%（含）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vAlign w:val="top"/>
          </w:tcPr>
          <w:p>
            <w:pPr>
              <w:spacing w:line="300" w:lineRule="auto"/>
              <w:jc w:val="center"/>
              <w:rPr>
                <w:rFonts w:hint="eastAsia" w:eastAsia="宋体"/>
                <w:highlight w:val="none"/>
                <w:lang w:val="en-US" w:eastAsia="zh-CN"/>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vAlign w:val="top"/>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vAlign w:val="top"/>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p>
        </w:tc>
        <w:tc>
          <w:tcPr>
            <w:tcW w:w="4261" w:type="dxa"/>
            <w:vAlign w:val="top"/>
          </w:tcPr>
          <w:p>
            <w:pPr>
              <w:spacing w:line="300" w:lineRule="auto"/>
              <w:jc w:val="center"/>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bl>
    <w:p>
      <w:pPr>
        <w:ind w:firstLine="0" w:firstLineChars="0"/>
        <w:jc w:val="left"/>
        <w:rPr>
          <w:rFonts w:ascii="宋体" w:hAnsi="宋体" w:eastAsia="宋体"/>
          <w:sz w:val="24"/>
          <w:szCs w:val="24"/>
          <w:highlight w:val="none"/>
          <w:lang w:bidi="ar"/>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5"/>
        </w:numPr>
        <w:spacing w:line="300" w:lineRule="auto"/>
        <w:outlineLvl w:val="1"/>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通过综合分析宏观经济走势、财政与货币政策、利率波动与趋势、利率期限结构、信用风险和利差变化等因素，在符合产品投资范围和投资比例的前提下，综合考虑各类投资品种的收益性、流动性和风险特征，追求获得较好的投资回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1</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配置策略</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选择投资于信用风险较为可控、收益相对较高的固定收益类资产，构建具有较优风险收益特征的投资组合。标准化债权资产的配置会在对市场利率波动与趋势做出预期分析的基础上，结合利率期限结构变化、信用利差变化等因素挑选较优的组合配置方案。</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2</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利率预期策略与组合久期管理</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通过对宏观经济走势的研究，结合对财政政策、货币政策等经济金融政策的分析对市场利率波动与趋势做出预期和判断，并在综合考虑组合流动性的前提下，调整组合的资产配置久期。在合理控制风险的前提下，通过利率趋势预测，力争增厚组合收益。</w:t>
      </w:r>
    </w:p>
    <w:p>
      <w:pPr>
        <w:numPr>
          <w:ilvl w:val="-1"/>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lang w:eastAsia="zh-CN"/>
        </w:rPr>
        <w:t>3</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交易策略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根据对市场利率波动与趋势的判断选取高流动性的金融工具(如国债、政策性金融债等)进行波段交易，高抛低吸以期获得交易性收益。交易策略将考虑投资品种的风险和收益特征，谨慎投资。</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w:t>
      </w:r>
      <w:r>
        <w:rPr>
          <w:rFonts w:hint="eastAsia" w:ascii="宋体" w:hAnsi="宋体" w:eastAsia="宋体"/>
          <w:b/>
          <w:bCs/>
          <w:sz w:val="24"/>
          <w:szCs w:val="24"/>
          <w:highlight w:val="none"/>
        </w:rPr>
        <w:t>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bookmarkStart w:id="0" w:name="_Hlk134609573"/>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bookmarkEnd w:id="0"/>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3</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27</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val="en-US" w:eastAsia="zh-CN"/>
        </w:rPr>
        <w:t>2026</w:t>
      </w:r>
      <w:r>
        <w:rPr>
          <w:rFonts w:ascii="宋体" w:hAnsi="宋体" w:eastAsia="宋体"/>
          <w:sz w:val="24"/>
          <w:szCs w:val="24"/>
          <w:highlight w:val="none"/>
        </w:rPr>
        <w:t>】年【</w:t>
      </w:r>
      <w:r>
        <w:rPr>
          <w:rFonts w:hint="eastAsia" w:ascii="宋体" w:hAnsi="宋体" w:eastAsia="宋体"/>
          <w:sz w:val="24"/>
          <w:szCs w:val="24"/>
          <w:highlight w:val="none"/>
          <w:lang w:val="en-US" w:eastAsia="zh-CN"/>
        </w:rPr>
        <w:t>3</w:t>
      </w:r>
      <w:r>
        <w:rPr>
          <w:rFonts w:ascii="宋体" w:hAnsi="宋体" w:eastAsia="宋体"/>
          <w:sz w:val="24"/>
          <w:szCs w:val="24"/>
          <w:highlight w:val="none"/>
        </w:rPr>
        <w:t>】月【</w:t>
      </w:r>
      <w:r>
        <w:rPr>
          <w:rFonts w:hint="eastAsia" w:ascii="宋体" w:hAnsi="宋体" w:eastAsia="宋体"/>
          <w:sz w:val="24"/>
          <w:szCs w:val="24"/>
          <w:highlight w:val="none"/>
          <w:lang w:val="en-US" w:eastAsia="zh-CN"/>
        </w:rPr>
        <w:t>31</w:t>
      </w:r>
      <w:r>
        <w:rPr>
          <w:rFonts w:ascii="宋体" w:hAnsi="宋体" w:eastAsia="宋体"/>
          <w:sz w:val="24"/>
          <w:szCs w:val="24"/>
          <w:highlight w:val="none"/>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在认购期内，首次认购起点金额为【</w:t>
      </w:r>
      <w:r>
        <w:rPr>
          <w:rFonts w:hint="eastAsia" w:ascii="宋体" w:hAnsi="宋体" w:eastAsia="宋体"/>
          <w:sz w:val="24"/>
          <w:szCs w:val="24"/>
          <w:highlight w:val="none"/>
          <w:lang w:val="en-US" w:eastAsia="zh-CN"/>
        </w:rPr>
        <w:t>50万</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】元。</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7"/>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.法律法规规定或</w:t>
      </w:r>
      <w:r>
        <w:rPr>
          <w:rFonts w:hint="eastAsia" w:ascii="宋体" w:hAnsi="宋体" w:eastAsia="宋体"/>
          <w:sz w:val="24"/>
          <w:szCs w:val="24"/>
          <w:highlight w:val="none"/>
        </w:rPr>
        <w:t>产品</w:t>
      </w:r>
      <w:r>
        <w:rPr>
          <w:rFonts w:ascii="宋体" w:hAnsi="宋体" w:eastAsia="宋体"/>
          <w:sz w:val="24"/>
          <w:szCs w:val="24"/>
          <w:highlight w:val="none"/>
        </w:rPr>
        <w:t>管理人基于审慎考虑认定的其他情形。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如果投资者的认购申请被拒绝，被拒绝的认购款项将全额退还给投资者，扣款日至资金返还日期间管理人不计付利息。投资者通过销售服务机构购买理财产品的，以销售服务机构的规定为准。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w:t>
      </w:r>
      <w:r>
        <w:rPr>
          <w:rFonts w:ascii="宋体" w:hAnsi="宋体" w:eastAsia="宋体"/>
          <w:sz w:val="24"/>
          <w:szCs w:val="24"/>
          <w:highlight w:val="none"/>
        </w:rPr>
        <w:t>四</w:t>
      </w:r>
      <w:r>
        <w:rPr>
          <w:rFonts w:hint="eastAsia" w:ascii="宋体" w:hAnsi="宋体" w:cs="宋体"/>
          <w:sz w:val="24"/>
          <w:highlight w:val="none"/>
        </w:rPr>
        <w:t>）</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rPr>
      </w:pPr>
      <w:r>
        <w:rPr>
          <w:rFonts w:ascii="宋体" w:hAnsi="宋体" w:eastAsia="宋体"/>
          <w:sz w:val="24"/>
          <w:szCs w:val="24"/>
          <w:highlight w:val="none"/>
        </w:rPr>
        <w:t>若有投资者购买了本产品且本产品不成立，本产品管理人</w:t>
      </w:r>
      <w:r>
        <w:rPr>
          <w:rFonts w:hint="eastAsia" w:ascii="宋体" w:hAnsi="宋体" w:eastAsia="宋体"/>
          <w:sz w:val="24"/>
          <w:szCs w:val="24"/>
          <w:highlight w:val="none"/>
        </w:rPr>
        <w:t>将不</w:t>
      </w:r>
      <w:r>
        <w:rPr>
          <w:rFonts w:ascii="宋体" w:hAnsi="宋体" w:eastAsia="宋体"/>
          <w:sz w:val="24"/>
          <w:szCs w:val="24"/>
          <w:highlight w:val="none"/>
        </w:rPr>
        <w:t>晚于产品</w:t>
      </w:r>
      <w:r>
        <w:rPr>
          <w:rFonts w:hint="eastAsia" w:ascii="宋体" w:hAnsi="宋体" w:eastAsia="宋体"/>
          <w:sz w:val="24"/>
          <w:szCs w:val="24"/>
          <w:highlight w:val="none"/>
        </w:rPr>
        <w:t>计划成立日</w:t>
      </w:r>
      <w:r>
        <w:rPr>
          <w:rFonts w:ascii="宋体" w:hAnsi="宋体" w:eastAsia="宋体"/>
          <w:sz w:val="24"/>
          <w:szCs w:val="24"/>
          <w:highlight w:val="none"/>
        </w:rPr>
        <w:t>对产品不成立进行信息披露，在</w:t>
      </w:r>
      <w:r>
        <w:rPr>
          <w:rFonts w:hint="eastAsia" w:ascii="宋体" w:hAnsi="宋体" w:eastAsia="宋体"/>
          <w:sz w:val="24"/>
          <w:szCs w:val="24"/>
          <w:highlight w:val="none"/>
        </w:rPr>
        <w:t>认购</w:t>
      </w:r>
      <w:r>
        <w:rPr>
          <w:rFonts w:ascii="宋体" w:hAnsi="宋体" w:eastAsia="宋体"/>
          <w:sz w:val="24"/>
          <w:szCs w:val="24"/>
          <w:highlight w:val="none"/>
        </w:rPr>
        <w:t>期结束后5个工作日内，投资者认购资金（如已扣款至产品募集账户）将返还至投资者约定交易账户，</w:t>
      </w:r>
      <w:r>
        <w:rPr>
          <w:rFonts w:ascii="宋体" w:hAnsi="宋体" w:eastAsia="宋体"/>
          <w:b/>
          <w:bCs/>
          <w:sz w:val="24"/>
          <w:szCs w:val="24"/>
          <w:highlight w:val="none"/>
        </w:rPr>
        <w:t>在途期间投资者认购资金</w:t>
      </w:r>
      <w:r>
        <w:rPr>
          <w:rFonts w:hint="eastAsia" w:ascii="宋体" w:hAnsi="宋体" w:eastAsia="宋体"/>
          <w:b/>
          <w:bCs/>
          <w:sz w:val="24"/>
          <w:szCs w:val="24"/>
          <w:highlight w:val="none"/>
        </w:rPr>
        <w:t>管理人</w:t>
      </w:r>
      <w:r>
        <w:rPr>
          <w:rFonts w:ascii="宋体" w:hAnsi="宋体" w:eastAsia="宋体"/>
          <w:b/>
          <w:bCs/>
          <w:sz w:val="24"/>
          <w:szCs w:val="24"/>
          <w:highlight w:val="none"/>
        </w:rPr>
        <w:t>不计付利息。</w:t>
      </w:r>
    </w:p>
    <w:p>
      <w:pPr>
        <w:spacing w:line="300" w:lineRule="auto"/>
        <w:ind w:firstLine="482" w:firstLineChars="200"/>
        <w:jc w:val="left"/>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6"/>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val="en-US" w:eastAsia="zh-CN" w:bidi="ar"/>
        </w:rPr>
        <w:t>理财产品</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widowControl/>
        <w:numPr>
          <w:ilvl w:val="0"/>
          <w:numId w:val="7"/>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每个自然日计提的销售服务费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val="en-US" w:eastAsia="zh-CN" w:bidi="ar"/>
        </w:rPr>
        <w:t>理财产品</w:t>
      </w:r>
      <w:r>
        <w:rPr>
          <w:rFonts w:hint="eastAsia" w:ascii="宋体" w:hAnsi="宋体" w:eastAsia="宋体"/>
          <w:b/>
          <w:bCs/>
          <w:sz w:val="24"/>
          <w:szCs w:val="24"/>
          <w:highlight w:val="none"/>
        </w:rPr>
        <w:t>净资产×当前执行的销售服务费率÷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widowControl/>
        <w:numPr>
          <w:ilvl w:val="0"/>
          <w:numId w:val="7"/>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超额业绩报酬：管理人</w:t>
      </w:r>
      <w:r>
        <w:rPr>
          <w:rFonts w:hint="eastAsia" w:ascii="宋体" w:hAnsi="宋体" w:eastAsia="宋体"/>
          <w:b/>
          <w:bCs/>
          <w:sz w:val="24"/>
          <w:szCs w:val="24"/>
          <w:highlight w:val="none"/>
          <w:lang w:val="en-US" w:eastAsia="zh-CN"/>
        </w:rPr>
        <w:t>不</w:t>
      </w:r>
      <w:r>
        <w:rPr>
          <w:rFonts w:hint="eastAsia" w:ascii="宋体" w:hAnsi="宋体" w:eastAsia="宋体"/>
          <w:b/>
          <w:bCs/>
          <w:sz w:val="24"/>
          <w:szCs w:val="24"/>
          <w:highlight w:val="none"/>
        </w:rPr>
        <w:t>收取理财产品超额业绩报酬。</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1"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1"/>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2.如产品正常到期或提前终止，理财资金于到期日（实际到期日或提前终止</w:t>
      </w:r>
      <w:r>
        <w:rPr>
          <w:rFonts w:hint="eastAsia" w:ascii="宋体" w:hAnsi="宋体" w:eastAsia="宋体"/>
          <w:sz w:val="24"/>
          <w:szCs w:val="24"/>
          <w:highlight w:val="none"/>
        </w:rPr>
        <w:t>日）后【</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个工作日内根据实际情况一次性分配，如遇非工作日则顺延至下一</w:t>
      </w:r>
      <w:r>
        <w:rPr>
          <w:rFonts w:hint="eastAsia" w:ascii="宋体" w:hAnsi="宋体" w:eastAsia="宋体"/>
          <w:sz w:val="24"/>
          <w:szCs w:val="24"/>
          <w:highlight w:val="none"/>
        </w:rPr>
        <w:t>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=到期日产品某</w:t>
      </w:r>
      <w:r>
        <w:rPr>
          <w:rFonts w:hint="eastAsia" w:ascii="宋体" w:hAnsi="宋体" w:eastAsia="宋体"/>
          <w:sz w:val="24"/>
          <w:szCs w:val="24"/>
          <w:highlight w:val="none"/>
        </w:rPr>
        <w:t>类</w:t>
      </w:r>
      <w:r>
        <w:rPr>
          <w:rFonts w:ascii="宋体" w:hAnsi="宋体" w:eastAsia="宋体"/>
          <w:sz w:val="24"/>
          <w:szCs w:val="24"/>
          <w:highlight w:val="none"/>
        </w:rPr>
        <w:t>份额可分配的总金额/产品某</w:t>
      </w:r>
      <w:r>
        <w:rPr>
          <w:rFonts w:hint="eastAsia" w:ascii="宋体" w:hAnsi="宋体" w:eastAsia="宋体"/>
          <w:sz w:val="24"/>
          <w:szCs w:val="24"/>
          <w:highlight w:val="none"/>
        </w:rPr>
        <w:t>类</w:t>
      </w:r>
      <w:r>
        <w:rPr>
          <w:rFonts w:ascii="宋体" w:hAnsi="宋体" w:eastAsia="宋体"/>
          <w:sz w:val="24"/>
          <w:szCs w:val="24"/>
          <w:highlight w:val="none"/>
        </w:rPr>
        <w:t>份额总份额*投资者</w:t>
      </w:r>
      <w:r>
        <w:rPr>
          <w:rFonts w:hint="eastAsia" w:ascii="宋体" w:hAnsi="宋体" w:eastAsia="宋体"/>
          <w:sz w:val="24"/>
          <w:szCs w:val="24"/>
          <w:highlight w:val="none"/>
        </w:rPr>
        <w:t>持有</w:t>
      </w:r>
      <w:r>
        <w:rPr>
          <w:rFonts w:ascii="宋体" w:hAnsi="宋体" w:eastAsia="宋体"/>
          <w:sz w:val="24"/>
          <w:szCs w:val="24"/>
          <w:highlight w:val="none"/>
        </w:rPr>
        <w:t>某</w:t>
      </w:r>
      <w:r>
        <w:rPr>
          <w:rFonts w:hint="eastAsia" w:ascii="宋体" w:hAnsi="宋体" w:eastAsia="宋体"/>
          <w:sz w:val="24"/>
          <w:szCs w:val="24"/>
          <w:highlight w:val="none"/>
        </w:rPr>
        <w:t>类</w:t>
      </w:r>
      <w:r>
        <w:rPr>
          <w:rFonts w:ascii="宋体" w:hAnsi="宋体" w:eastAsia="宋体"/>
          <w:sz w:val="24"/>
          <w:szCs w:val="24"/>
          <w:highlight w:val="none"/>
        </w:rPr>
        <w:t>份额</w:t>
      </w:r>
      <w:r>
        <w:rPr>
          <w:rFonts w:hint="eastAsia" w:ascii="宋体" w:hAnsi="宋体" w:eastAsia="宋体"/>
          <w:sz w:val="24"/>
          <w:szCs w:val="24"/>
          <w:highlight w:val="none"/>
        </w:rPr>
        <w:t>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（8）所投资资产部分或全部提前偿付。</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理财产品到期日为理财产品终止日（含提前终止）。产品到期后，理财产品终止运作，进入清算期，清算期不计算投资收益。理财资产清算后扣除理财相关费用、缴纳所欠税款并清偿理财产品负债后，理财利益按投资者持有的理财产品份额比例进行分配。清算期原则上不得超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个工作日，清算期超过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如遇国家金融政策、监管政策、相关法律法规发生变化，或本产品所投资资产的市场发生重大市场波动，或融资方、资产发行人及交易方出现违约或未按约定偿还本息、或投资市场出现流动性不足、资产未能正常买卖结算或后续加入资金不足及其他情形导致投资资产不能及时变现，则渤银理财有权将产品实际结算延长至相关投资资产变现或追偿处置完毕为止，本产品管理人将尽快对相关资产进行变现，并将变现后的非现金类资产与原有现金类资产在扣除相关费用后向投资者分配。延长期内不计收益，延期清算期间不计付利息。</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7.</w:t>
      </w:r>
      <w:r>
        <w:rPr>
          <w:rFonts w:ascii="宋体" w:hAnsi="宋体" w:eastAsia="宋体"/>
          <w:b/>
          <w:bCs/>
          <w:sz w:val="24"/>
          <w:szCs w:val="24"/>
          <w:highlight w:val="none"/>
        </w:rPr>
        <w:t>管理人有权决定非标准化债权</w:t>
      </w:r>
      <w:r>
        <w:rPr>
          <w:rFonts w:hint="eastAsia" w:ascii="宋体" w:hAnsi="宋体" w:eastAsia="宋体"/>
          <w:b/>
          <w:bCs/>
          <w:sz w:val="24"/>
          <w:szCs w:val="24"/>
          <w:highlight w:val="none"/>
        </w:rPr>
        <w:t>类</w:t>
      </w:r>
      <w:r>
        <w:rPr>
          <w:rFonts w:ascii="宋体" w:hAnsi="宋体" w:eastAsia="宋体"/>
          <w:b/>
          <w:bCs/>
          <w:sz w:val="24"/>
          <w:szCs w:val="24"/>
          <w:highlight w:val="none"/>
        </w:rPr>
        <w:t>资产投资的管理、合同条款变更、赎回、处</w:t>
      </w:r>
      <w:r>
        <w:rPr>
          <w:rFonts w:hint="eastAsia" w:ascii="宋体" w:hAnsi="宋体" w:eastAsia="宋体"/>
          <w:b/>
          <w:bCs/>
          <w:sz w:val="24"/>
          <w:szCs w:val="24"/>
          <w:highlight w:val="none"/>
        </w:rPr>
        <w:t>置与披露事宜，并有权指令信托受托人（如有）按管理人指令执行，包括但不限于：有权决定非标准化债权类资产及其底层资产投放的先决条件是否放弃或延后、有权决定非标准化债权投资的相关罚息的降低或免除、有权决定是否同意非标准化债权类资产的债务人提前还款（含全部及部分）或展期及展期条件、有权决定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2.</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银行股份有限公司，地址为天津市海河东路</w:t>
      </w:r>
      <w:r>
        <w:rPr>
          <w:rFonts w:ascii="宋体" w:hAnsi="宋体" w:eastAsia="宋体"/>
          <w:sz w:val="24"/>
          <w:szCs w:val="24"/>
          <w:highlight w:val="none"/>
        </w:rPr>
        <w:t>218号渤海银行大厦，</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2" w:name="_Hlk136876402"/>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银行股份有限公司，住所</w:t>
      </w:r>
      <w:r>
        <w:rPr>
          <w:rFonts w:hint="eastAsia" w:ascii="宋体" w:hAnsi="宋体" w:eastAsia="宋体"/>
          <w:sz w:val="24"/>
          <w:szCs w:val="24"/>
          <w:highlight w:val="none"/>
          <w:lang w:eastAsia="zh-CN"/>
        </w:rPr>
        <w:t>：</w:t>
      </w:r>
      <w:r>
        <w:rPr>
          <w:rFonts w:hint="eastAsia" w:ascii="宋体" w:hAnsi="宋体" w:eastAsia="宋体"/>
          <w:sz w:val="24"/>
          <w:szCs w:val="24"/>
          <w:highlight w:val="none"/>
        </w:rPr>
        <w:t>天津市海河东路</w:t>
      </w:r>
      <w:r>
        <w:rPr>
          <w:rFonts w:ascii="宋体" w:hAnsi="宋体" w:eastAsia="宋体"/>
          <w:sz w:val="24"/>
          <w:szCs w:val="24"/>
          <w:highlight w:val="none"/>
        </w:rPr>
        <w:t>218号渤海银行大厦，客户服务热线</w:t>
      </w:r>
      <w:r>
        <w:rPr>
          <w:rFonts w:hint="eastAsia" w:ascii="宋体" w:hAnsi="宋体" w:eastAsia="宋体"/>
          <w:sz w:val="24"/>
          <w:szCs w:val="24"/>
          <w:highlight w:val="none"/>
          <w:lang w:eastAsia="zh-CN"/>
        </w:rPr>
        <w:t>：</w:t>
      </w:r>
      <w:r>
        <w:rPr>
          <w:rFonts w:ascii="宋体" w:hAnsi="宋体" w:eastAsia="宋体"/>
          <w:sz w:val="24"/>
          <w:szCs w:val="24"/>
          <w:highlight w:val="none"/>
        </w:rPr>
        <w:t>95541</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2"/>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pPr>
        <w:rPr>
          <w:rFonts w:hint="eastAsia" w:ascii="宋体" w:hAnsi="宋体" w:eastAsia="宋体"/>
          <w:sz w:val="24"/>
          <w:szCs w:val="24"/>
          <w:highlight w:val="none"/>
        </w:rPr>
      </w:pP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C507B729"/>
    <w:multiLevelType w:val="singleLevel"/>
    <w:tmpl w:val="C507B729"/>
    <w:lvl w:ilvl="0" w:tentative="0">
      <w:start w:val="4"/>
      <w:numFmt w:val="decimal"/>
      <w:lvlText w:val="%1."/>
      <w:lvlJc w:val="left"/>
      <w:pPr>
        <w:tabs>
          <w:tab w:val="left" w:pos="312"/>
        </w:tabs>
      </w:pPr>
    </w:lvl>
  </w:abstractNum>
  <w:abstractNum w:abstractNumId="2">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3">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5">
    <w:nsid w:val="57E61E1F"/>
    <w:multiLevelType w:val="singleLevel"/>
    <w:tmpl w:val="57E61E1F"/>
    <w:lvl w:ilvl="0" w:tentative="0">
      <w:start w:val="1"/>
      <w:numFmt w:val="chineseCounting"/>
      <w:suff w:val="nothing"/>
      <w:lvlText w:val="（%1）"/>
      <w:lvlJc w:val="left"/>
      <w:rPr>
        <w:rFonts w:hint="eastAsia"/>
      </w:rPr>
    </w:lvl>
  </w:abstractNum>
  <w:abstractNum w:abstractNumId="6">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2"/>
  </w:num>
  <w:num w:numId="2">
    <w:abstractNumId w:val="3"/>
  </w:num>
  <w:num w:numId="3">
    <w:abstractNumId w:val="4"/>
  </w:num>
  <w:num w:numId="4">
    <w:abstractNumId w:val="6"/>
  </w:num>
  <w:num w:numId="5">
    <w:abstractNumId w:val="0"/>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mFiODI4OTlkNWI3ZGMyMTI4M2FjZjI0ZjQ4ZWY2ZjcifQ=="/>
  </w:docVars>
  <w:rsids>
    <w:rsidRoot w:val="68371EB1"/>
    <w:rsid w:val="000035A3"/>
    <w:rsid w:val="00004B79"/>
    <w:rsid w:val="00006524"/>
    <w:rsid w:val="0001112B"/>
    <w:rsid w:val="00024CA9"/>
    <w:rsid w:val="00032C9C"/>
    <w:rsid w:val="00036E72"/>
    <w:rsid w:val="000506F9"/>
    <w:rsid w:val="00051841"/>
    <w:rsid w:val="00061613"/>
    <w:rsid w:val="000645E4"/>
    <w:rsid w:val="00097A18"/>
    <w:rsid w:val="000A4541"/>
    <w:rsid w:val="000A69DE"/>
    <w:rsid w:val="000B4D75"/>
    <w:rsid w:val="000B6D24"/>
    <w:rsid w:val="000B7618"/>
    <w:rsid w:val="000C0E42"/>
    <w:rsid w:val="000D10C8"/>
    <w:rsid w:val="000D12E4"/>
    <w:rsid w:val="000D6B3E"/>
    <w:rsid w:val="000E074E"/>
    <w:rsid w:val="000E5C50"/>
    <w:rsid w:val="000E7773"/>
    <w:rsid w:val="000F0D96"/>
    <w:rsid w:val="000F6272"/>
    <w:rsid w:val="00103833"/>
    <w:rsid w:val="00110210"/>
    <w:rsid w:val="00124E2B"/>
    <w:rsid w:val="0012707B"/>
    <w:rsid w:val="001421F8"/>
    <w:rsid w:val="00147E19"/>
    <w:rsid w:val="00150844"/>
    <w:rsid w:val="0016025F"/>
    <w:rsid w:val="00163B7B"/>
    <w:rsid w:val="00163C19"/>
    <w:rsid w:val="00167828"/>
    <w:rsid w:val="001807C3"/>
    <w:rsid w:val="00195677"/>
    <w:rsid w:val="001959AE"/>
    <w:rsid w:val="001A06FF"/>
    <w:rsid w:val="001A3EF5"/>
    <w:rsid w:val="001B21E7"/>
    <w:rsid w:val="001E028A"/>
    <w:rsid w:val="001E1AF9"/>
    <w:rsid w:val="0021517C"/>
    <w:rsid w:val="002154F6"/>
    <w:rsid w:val="00222AB8"/>
    <w:rsid w:val="00224686"/>
    <w:rsid w:val="002321DC"/>
    <w:rsid w:val="00232691"/>
    <w:rsid w:val="00234FEC"/>
    <w:rsid w:val="002625B5"/>
    <w:rsid w:val="00272F8D"/>
    <w:rsid w:val="00273D11"/>
    <w:rsid w:val="00285E2C"/>
    <w:rsid w:val="00286579"/>
    <w:rsid w:val="00291101"/>
    <w:rsid w:val="00293FC9"/>
    <w:rsid w:val="002A270F"/>
    <w:rsid w:val="002A2B42"/>
    <w:rsid w:val="002A42EF"/>
    <w:rsid w:val="002A4A21"/>
    <w:rsid w:val="002C758A"/>
    <w:rsid w:val="002D194A"/>
    <w:rsid w:val="002D3523"/>
    <w:rsid w:val="002E0872"/>
    <w:rsid w:val="002F5161"/>
    <w:rsid w:val="00304EF1"/>
    <w:rsid w:val="00306602"/>
    <w:rsid w:val="003071D4"/>
    <w:rsid w:val="00315230"/>
    <w:rsid w:val="00323E61"/>
    <w:rsid w:val="00337006"/>
    <w:rsid w:val="00337791"/>
    <w:rsid w:val="00345243"/>
    <w:rsid w:val="0034529F"/>
    <w:rsid w:val="0035184A"/>
    <w:rsid w:val="00352E7B"/>
    <w:rsid w:val="0036535A"/>
    <w:rsid w:val="00377CFA"/>
    <w:rsid w:val="003847C6"/>
    <w:rsid w:val="00393821"/>
    <w:rsid w:val="003A3EF0"/>
    <w:rsid w:val="003A6976"/>
    <w:rsid w:val="003C0613"/>
    <w:rsid w:val="003C0CD7"/>
    <w:rsid w:val="003C437F"/>
    <w:rsid w:val="003D4B45"/>
    <w:rsid w:val="003D61BA"/>
    <w:rsid w:val="003E00C3"/>
    <w:rsid w:val="003E6814"/>
    <w:rsid w:val="00401A62"/>
    <w:rsid w:val="00407D60"/>
    <w:rsid w:val="00415C7E"/>
    <w:rsid w:val="00423C7C"/>
    <w:rsid w:val="00426D8C"/>
    <w:rsid w:val="00432667"/>
    <w:rsid w:val="0044767E"/>
    <w:rsid w:val="0045625D"/>
    <w:rsid w:val="00456973"/>
    <w:rsid w:val="00463847"/>
    <w:rsid w:val="00465DCE"/>
    <w:rsid w:val="00475B90"/>
    <w:rsid w:val="00482C80"/>
    <w:rsid w:val="0048516D"/>
    <w:rsid w:val="0048653D"/>
    <w:rsid w:val="00490A73"/>
    <w:rsid w:val="004948FE"/>
    <w:rsid w:val="004A1854"/>
    <w:rsid w:val="004A236F"/>
    <w:rsid w:val="004A24DE"/>
    <w:rsid w:val="004A3A55"/>
    <w:rsid w:val="004C6CAC"/>
    <w:rsid w:val="004D1068"/>
    <w:rsid w:val="004D2899"/>
    <w:rsid w:val="004E4592"/>
    <w:rsid w:val="004F07A5"/>
    <w:rsid w:val="004F52C7"/>
    <w:rsid w:val="004F5F9D"/>
    <w:rsid w:val="00502807"/>
    <w:rsid w:val="00502E84"/>
    <w:rsid w:val="00514F8A"/>
    <w:rsid w:val="005153AB"/>
    <w:rsid w:val="00515C52"/>
    <w:rsid w:val="00530734"/>
    <w:rsid w:val="00530B5B"/>
    <w:rsid w:val="0053234A"/>
    <w:rsid w:val="005335D7"/>
    <w:rsid w:val="00534088"/>
    <w:rsid w:val="00542C95"/>
    <w:rsid w:val="0055047D"/>
    <w:rsid w:val="00567A24"/>
    <w:rsid w:val="00574352"/>
    <w:rsid w:val="00582F7A"/>
    <w:rsid w:val="00595056"/>
    <w:rsid w:val="00597626"/>
    <w:rsid w:val="005A1ABF"/>
    <w:rsid w:val="005A4FBD"/>
    <w:rsid w:val="005B2754"/>
    <w:rsid w:val="005C1438"/>
    <w:rsid w:val="005C518A"/>
    <w:rsid w:val="005D793C"/>
    <w:rsid w:val="005E089E"/>
    <w:rsid w:val="005E6937"/>
    <w:rsid w:val="005F42D8"/>
    <w:rsid w:val="00602943"/>
    <w:rsid w:val="006033A7"/>
    <w:rsid w:val="00605862"/>
    <w:rsid w:val="00611923"/>
    <w:rsid w:val="00625BDB"/>
    <w:rsid w:val="00627B3B"/>
    <w:rsid w:val="006376F3"/>
    <w:rsid w:val="00637DE4"/>
    <w:rsid w:val="006428F4"/>
    <w:rsid w:val="00657B03"/>
    <w:rsid w:val="006657E6"/>
    <w:rsid w:val="00672892"/>
    <w:rsid w:val="006747AF"/>
    <w:rsid w:val="00675769"/>
    <w:rsid w:val="006760F2"/>
    <w:rsid w:val="006819D7"/>
    <w:rsid w:val="00683B72"/>
    <w:rsid w:val="0068684B"/>
    <w:rsid w:val="006A143E"/>
    <w:rsid w:val="006A20BE"/>
    <w:rsid w:val="006A4900"/>
    <w:rsid w:val="006A6582"/>
    <w:rsid w:val="006B4097"/>
    <w:rsid w:val="006B6209"/>
    <w:rsid w:val="006C777F"/>
    <w:rsid w:val="006D4EEF"/>
    <w:rsid w:val="006E107C"/>
    <w:rsid w:val="006E74C4"/>
    <w:rsid w:val="006F47C1"/>
    <w:rsid w:val="006F60A6"/>
    <w:rsid w:val="0070138F"/>
    <w:rsid w:val="00702580"/>
    <w:rsid w:val="00724287"/>
    <w:rsid w:val="00743FA5"/>
    <w:rsid w:val="00744E2D"/>
    <w:rsid w:val="00745F02"/>
    <w:rsid w:val="007472A6"/>
    <w:rsid w:val="00751344"/>
    <w:rsid w:val="007519CB"/>
    <w:rsid w:val="00752553"/>
    <w:rsid w:val="007551B2"/>
    <w:rsid w:val="007559D4"/>
    <w:rsid w:val="00761C97"/>
    <w:rsid w:val="00770105"/>
    <w:rsid w:val="00786181"/>
    <w:rsid w:val="007A3AE2"/>
    <w:rsid w:val="007B0FDF"/>
    <w:rsid w:val="007B2E50"/>
    <w:rsid w:val="007B5637"/>
    <w:rsid w:val="007C38D0"/>
    <w:rsid w:val="007E691C"/>
    <w:rsid w:val="007F356D"/>
    <w:rsid w:val="008005D6"/>
    <w:rsid w:val="00801041"/>
    <w:rsid w:val="00802662"/>
    <w:rsid w:val="00806874"/>
    <w:rsid w:val="00807800"/>
    <w:rsid w:val="00810912"/>
    <w:rsid w:val="00811E62"/>
    <w:rsid w:val="00822719"/>
    <w:rsid w:val="00826B53"/>
    <w:rsid w:val="00830BF6"/>
    <w:rsid w:val="00842102"/>
    <w:rsid w:val="008502EC"/>
    <w:rsid w:val="008519ED"/>
    <w:rsid w:val="008616C8"/>
    <w:rsid w:val="00863D8A"/>
    <w:rsid w:val="008739B2"/>
    <w:rsid w:val="00876684"/>
    <w:rsid w:val="00880443"/>
    <w:rsid w:val="00887F98"/>
    <w:rsid w:val="0089136D"/>
    <w:rsid w:val="00895667"/>
    <w:rsid w:val="008A0DDF"/>
    <w:rsid w:val="008B40A4"/>
    <w:rsid w:val="008C69FC"/>
    <w:rsid w:val="008D293D"/>
    <w:rsid w:val="008D43C5"/>
    <w:rsid w:val="008D54DA"/>
    <w:rsid w:val="008E45B9"/>
    <w:rsid w:val="008F0B03"/>
    <w:rsid w:val="00910843"/>
    <w:rsid w:val="0092237C"/>
    <w:rsid w:val="00923045"/>
    <w:rsid w:val="00932B8D"/>
    <w:rsid w:val="00936CA0"/>
    <w:rsid w:val="009374FA"/>
    <w:rsid w:val="00937CB2"/>
    <w:rsid w:val="0094046E"/>
    <w:rsid w:val="00942924"/>
    <w:rsid w:val="009455A2"/>
    <w:rsid w:val="00954DD2"/>
    <w:rsid w:val="00955BA9"/>
    <w:rsid w:val="00957DD5"/>
    <w:rsid w:val="009617AB"/>
    <w:rsid w:val="0097436A"/>
    <w:rsid w:val="0097731B"/>
    <w:rsid w:val="009841CB"/>
    <w:rsid w:val="00993214"/>
    <w:rsid w:val="0099625C"/>
    <w:rsid w:val="009A0609"/>
    <w:rsid w:val="009A78C9"/>
    <w:rsid w:val="009D6D2F"/>
    <w:rsid w:val="009E5A61"/>
    <w:rsid w:val="00A00099"/>
    <w:rsid w:val="00A1581A"/>
    <w:rsid w:val="00A30EE7"/>
    <w:rsid w:val="00A421B5"/>
    <w:rsid w:val="00A61C4A"/>
    <w:rsid w:val="00A836EC"/>
    <w:rsid w:val="00A84465"/>
    <w:rsid w:val="00A845A7"/>
    <w:rsid w:val="00A902BA"/>
    <w:rsid w:val="00A91C60"/>
    <w:rsid w:val="00A9432D"/>
    <w:rsid w:val="00A95F46"/>
    <w:rsid w:val="00A97EAB"/>
    <w:rsid w:val="00AB294B"/>
    <w:rsid w:val="00AB2BA9"/>
    <w:rsid w:val="00AD2EE3"/>
    <w:rsid w:val="00AD4EFF"/>
    <w:rsid w:val="00AF117E"/>
    <w:rsid w:val="00AF6071"/>
    <w:rsid w:val="00B11174"/>
    <w:rsid w:val="00B13719"/>
    <w:rsid w:val="00B21BA1"/>
    <w:rsid w:val="00B317BB"/>
    <w:rsid w:val="00B32539"/>
    <w:rsid w:val="00B44BE6"/>
    <w:rsid w:val="00B47E14"/>
    <w:rsid w:val="00B508C1"/>
    <w:rsid w:val="00B67155"/>
    <w:rsid w:val="00B7215B"/>
    <w:rsid w:val="00B90DA9"/>
    <w:rsid w:val="00B910EC"/>
    <w:rsid w:val="00BA077E"/>
    <w:rsid w:val="00BB2A3C"/>
    <w:rsid w:val="00BB6A0F"/>
    <w:rsid w:val="00BC1A16"/>
    <w:rsid w:val="00BC7B12"/>
    <w:rsid w:val="00BC7FF6"/>
    <w:rsid w:val="00BD4BBA"/>
    <w:rsid w:val="00BE46E6"/>
    <w:rsid w:val="00BE7624"/>
    <w:rsid w:val="00BF175D"/>
    <w:rsid w:val="00BF73F5"/>
    <w:rsid w:val="00C00F56"/>
    <w:rsid w:val="00C1201E"/>
    <w:rsid w:val="00C13F12"/>
    <w:rsid w:val="00C1602F"/>
    <w:rsid w:val="00C24BBE"/>
    <w:rsid w:val="00C34756"/>
    <w:rsid w:val="00C35618"/>
    <w:rsid w:val="00C36DD1"/>
    <w:rsid w:val="00C44A92"/>
    <w:rsid w:val="00C53692"/>
    <w:rsid w:val="00C5440C"/>
    <w:rsid w:val="00C57E31"/>
    <w:rsid w:val="00C66903"/>
    <w:rsid w:val="00C66FFE"/>
    <w:rsid w:val="00C83FE0"/>
    <w:rsid w:val="00C85201"/>
    <w:rsid w:val="00C918BF"/>
    <w:rsid w:val="00C92C3D"/>
    <w:rsid w:val="00C95E82"/>
    <w:rsid w:val="00CB17A0"/>
    <w:rsid w:val="00CB4CCD"/>
    <w:rsid w:val="00CC3AFA"/>
    <w:rsid w:val="00CD1627"/>
    <w:rsid w:val="00CD40BE"/>
    <w:rsid w:val="00CD6285"/>
    <w:rsid w:val="00CF09F7"/>
    <w:rsid w:val="00CF19EB"/>
    <w:rsid w:val="00CF58E3"/>
    <w:rsid w:val="00D03AA4"/>
    <w:rsid w:val="00D1596F"/>
    <w:rsid w:val="00D4199C"/>
    <w:rsid w:val="00D509F2"/>
    <w:rsid w:val="00D51C1B"/>
    <w:rsid w:val="00D55EAE"/>
    <w:rsid w:val="00D64FD1"/>
    <w:rsid w:val="00D7058A"/>
    <w:rsid w:val="00D779BC"/>
    <w:rsid w:val="00D77C56"/>
    <w:rsid w:val="00D851F9"/>
    <w:rsid w:val="00D94D88"/>
    <w:rsid w:val="00DA3C75"/>
    <w:rsid w:val="00DB4447"/>
    <w:rsid w:val="00DD3F60"/>
    <w:rsid w:val="00DD6EEF"/>
    <w:rsid w:val="00DE03D4"/>
    <w:rsid w:val="00DE22CB"/>
    <w:rsid w:val="00DE3CCF"/>
    <w:rsid w:val="00DE4D92"/>
    <w:rsid w:val="00E07DC8"/>
    <w:rsid w:val="00E176A4"/>
    <w:rsid w:val="00E35E1E"/>
    <w:rsid w:val="00E3707F"/>
    <w:rsid w:val="00E414D0"/>
    <w:rsid w:val="00E44E52"/>
    <w:rsid w:val="00E5200A"/>
    <w:rsid w:val="00E5533B"/>
    <w:rsid w:val="00E60B89"/>
    <w:rsid w:val="00E61653"/>
    <w:rsid w:val="00E9119D"/>
    <w:rsid w:val="00EA4A18"/>
    <w:rsid w:val="00EB1E1E"/>
    <w:rsid w:val="00EB2749"/>
    <w:rsid w:val="00EB556C"/>
    <w:rsid w:val="00EC03CA"/>
    <w:rsid w:val="00EC2B1B"/>
    <w:rsid w:val="00EC337B"/>
    <w:rsid w:val="00EC6E17"/>
    <w:rsid w:val="00ED177B"/>
    <w:rsid w:val="00F25332"/>
    <w:rsid w:val="00F35952"/>
    <w:rsid w:val="00F37B86"/>
    <w:rsid w:val="00F74E5E"/>
    <w:rsid w:val="00F83E65"/>
    <w:rsid w:val="00FA2C40"/>
    <w:rsid w:val="00FA7E65"/>
    <w:rsid w:val="00FB63D5"/>
    <w:rsid w:val="00FC04B9"/>
    <w:rsid w:val="00FC1B19"/>
    <w:rsid w:val="00FC38C1"/>
    <w:rsid w:val="00FD0D7E"/>
    <w:rsid w:val="00FD3851"/>
    <w:rsid w:val="00FE188F"/>
    <w:rsid w:val="00FF1FAB"/>
    <w:rsid w:val="010B24BE"/>
    <w:rsid w:val="013A07AC"/>
    <w:rsid w:val="01CC68D5"/>
    <w:rsid w:val="01FE50BC"/>
    <w:rsid w:val="02300265"/>
    <w:rsid w:val="02377367"/>
    <w:rsid w:val="02536EB3"/>
    <w:rsid w:val="027628C1"/>
    <w:rsid w:val="02853027"/>
    <w:rsid w:val="02E65CAB"/>
    <w:rsid w:val="03136847"/>
    <w:rsid w:val="032125FF"/>
    <w:rsid w:val="032E18D0"/>
    <w:rsid w:val="033011B9"/>
    <w:rsid w:val="03542B62"/>
    <w:rsid w:val="0374404F"/>
    <w:rsid w:val="03993696"/>
    <w:rsid w:val="03A34738"/>
    <w:rsid w:val="03D6609D"/>
    <w:rsid w:val="041C0CB1"/>
    <w:rsid w:val="04283274"/>
    <w:rsid w:val="04932E7B"/>
    <w:rsid w:val="04E93371"/>
    <w:rsid w:val="05181349"/>
    <w:rsid w:val="055B7332"/>
    <w:rsid w:val="056A798D"/>
    <w:rsid w:val="056F50C1"/>
    <w:rsid w:val="05AF7B68"/>
    <w:rsid w:val="05BE29A4"/>
    <w:rsid w:val="05C0005A"/>
    <w:rsid w:val="05F00BCD"/>
    <w:rsid w:val="06035414"/>
    <w:rsid w:val="06040F9A"/>
    <w:rsid w:val="06170810"/>
    <w:rsid w:val="062B4B0A"/>
    <w:rsid w:val="063C3FE7"/>
    <w:rsid w:val="06507113"/>
    <w:rsid w:val="066B5F00"/>
    <w:rsid w:val="0675224B"/>
    <w:rsid w:val="067B28EF"/>
    <w:rsid w:val="067E3EB5"/>
    <w:rsid w:val="06CD4B74"/>
    <w:rsid w:val="072314C0"/>
    <w:rsid w:val="074D4BD8"/>
    <w:rsid w:val="077547A1"/>
    <w:rsid w:val="078411C8"/>
    <w:rsid w:val="079E00C6"/>
    <w:rsid w:val="07A42E2C"/>
    <w:rsid w:val="07B363A1"/>
    <w:rsid w:val="07ED7261"/>
    <w:rsid w:val="087D641E"/>
    <w:rsid w:val="08A07369"/>
    <w:rsid w:val="08D67DE6"/>
    <w:rsid w:val="091B36AE"/>
    <w:rsid w:val="09727A1C"/>
    <w:rsid w:val="098C148C"/>
    <w:rsid w:val="09EA1F2A"/>
    <w:rsid w:val="0A0134D2"/>
    <w:rsid w:val="0A2850F6"/>
    <w:rsid w:val="0A4A3AE2"/>
    <w:rsid w:val="0A580F87"/>
    <w:rsid w:val="0A6B190B"/>
    <w:rsid w:val="0A9C5B25"/>
    <w:rsid w:val="0AC35E88"/>
    <w:rsid w:val="0B153505"/>
    <w:rsid w:val="0B3B3C49"/>
    <w:rsid w:val="0B552CB2"/>
    <w:rsid w:val="0B5E31A4"/>
    <w:rsid w:val="0B66661D"/>
    <w:rsid w:val="0B7877C8"/>
    <w:rsid w:val="0BC62F1C"/>
    <w:rsid w:val="0BE97A81"/>
    <w:rsid w:val="0C576560"/>
    <w:rsid w:val="0C933759"/>
    <w:rsid w:val="0CB3034F"/>
    <w:rsid w:val="0D9E5BE6"/>
    <w:rsid w:val="0DA51B88"/>
    <w:rsid w:val="0DAF2FB0"/>
    <w:rsid w:val="0DDE60DB"/>
    <w:rsid w:val="0DE03441"/>
    <w:rsid w:val="0E0E32DA"/>
    <w:rsid w:val="0ECC0D8A"/>
    <w:rsid w:val="0EE70D61"/>
    <w:rsid w:val="0EFE798E"/>
    <w:rsid w:val="0F6012E0"/>
    <w:rsid w:val="0F631318"/>
    <w:rsid w:val="0FA5251B"/>
    <w:rsid w:val="0FB60F8D"/>
    <w:rsid w:val="0FB8513C"/>
    <w:rsid w:val="0FBA092F"/>
    <w:rsid w:val="0FBC7FE4"/>
    <w:rsid w:val="0FC74F7D"/>
    <w:rsid w:val="101211F8"/>
    <w:rsid w:val="103B431A"/>
    <w:rsid w:val="103E6C0E"/>
    <w:rsid w:val="106B20EB"/>
    <w:rsid w:val="108D4479"/>
    <w:rsid w:val="10AD75EF"/>
    <w:rsid w:val="10F42301"/>
    <w:rsid w:val="11065D2C"/>
    <w:rsid w:val="1150266C"/>
    <w:rsid w:val="118D5786"/>
    <w:rsid w:val="11984DEC"/>
    <w:rsid w:val="11D256B5"/>
    <w:rsid w:val="12527021"/>
    <w:rsid w:val="126222DD"/>
    <w:rsid w:val="126A20AC"/>
    <w:rsid w:val="12826EC2"/>
    <w:rsid w:val="12907E1F"/>
    <w:rsid w:val="12BC6408"/>
    <w:rsid w:val="12F03A8D"/>
    <w:rsid w:val="12FB1F1C"/>
    <w:rsid w:val="133D11A7"/>
    <w:rsid w:val="137B6010"/>
    <w:rsid w:val="13BC79EC"/>
    <w:rsid w:val="13CD4BF1"/>
    <w:rsid w:val="13F34CA7"/>
    <w:rsid w:val="14087139"/>
    <w:rsid w:val="14391C5C"/>
    <w:rsid w:val="144E7E1A"/>
    <w:rsid w:val="146847C4"/>
    <w:rsid w:val="14694151"/>
    <w:rsid w:val="14864269"/>
    <w:rsid w:val="149013EC"/>
    <w:rsid w:val="149C02B8"/>
    <w:rsid w:val="1518047E"/>
    <w:rsid w:val="152A2FC9"/>
    <w:rsid w:val="152E38AF"/>
    <w:rsid w:val="153D6DEC"/>
    <w:rsid w:val="159E5897"/>
    <w:rsid w:val="15BE553B"/>
    <w:rsid w:val="16126D17"/>
    <w:rsid w:val="16155210"/>
    <w:rsid w:val="161715F6"/>
    <w:rsid w:val="1617420C"/>
    <w:rsid w:val="163070EE"/>
    <w:rsid w:val="16362C2D"/>
    <w:rsid w:val="164A5F12"/>
    <w:rsid w:val="167A67DF"/>
    <w:rsid w:val="169D49D1"/>
    <w:rsid w:val="16F53929"/>
    <w:rsid w:val="176F4079"/>
    <w:rsid w:val="177F4193"/>
    <w:rsid w:val="18484731"/>
    <w:rsid w:val="184A069F"/>
    <w:rsid w:val="186E5D8B"/>
    <w:rsid w:val="188075F1"/>
    <w:rsid w:val="18BC72C8"/>
    <w:rsid w:val="18EE009C"/>
    <w:rsid w:val="18F60A16"/>
    <w:rsid w:val="19366550"/>
    <w:rsid w:val="19406BCA"/>
    <w:rsid w:val="194A19B6"/>
    <w:rsid w:val="19F81BC6"/>
    <w:rsid w:val="1A5B3DAB"/>
    <w:rsid w:val="1AF12911"/>
    <w:rsid w:val="1B4936D1"/>
    <w:rsid w:val="1B65728D"/>
    <w:rsid w:val="1B9E3EE1"/>
    <w:rsid w:val="1BA71B66"/>
    <w:rsid w:val="1C2C60FF"/>
    <w:rsid w:val="1C3950EF"/>
    <w:rsid w:val="1C516DE1"/>
    <w:rsid w:val="1CAA0577"/>
    <w:rsid w:val="1D0D7EEA"/>
    <w:rsid w:val="1D1539F9"/>
    <w:rsid w:val="1D3E52D1"/>
    <w:rsid w:val="1D3F2331"/>
    <w:rsid w:val="1D60611F"/>
    <w:rsid w:val="1D6B54AE"/>
    <w:rsid w:val="1DDD42E3"/>
    <w:rsid w:val="1DE47FE4"/>
    <w:rsid w:val="1E030DC8"/>
    <w:rsid w:val="1E352383"/>
    <w:rsid w:val="1E413716"/>
    <w:rsid w:val="1E521BF4"/>
    <w:rsid w:val="1F472A93"/>
    <w:rsid w:val="1F5B01EA"/>
    <w:rsid w:val="1FD51345"/>
    <w:rsid w:val="1FF47788"/>
    <w:rsid w:val="20350547"/>
    <w:rsid w:val="2060339D"/>
    <w:rsid w:val="206904BF"/>
    <w:rsid w:val="207B7DC7"/>
    <w:rsid w:val="210B020D"/>
    <w:rsid w:val="21264EDF"/>
    <w:rsid w:val="218C3503"/>
    <w:rsid w:val="21A842C7"/>
    <w:rsid w:val="21B948C1"/>
    <w:rsid w:val="21C959D5"/>
    <w:rsid w:val="21EB48C3"/>
    <w:rsid w:val="2252490D"/>
    <w:rsid w:val="227809D0"/>
    <w:rsid w:val="2293195D"/>
    <w:rsid w:val="22A96838"/>
    <w:rsid w:val="22D44351"/>
    <w:rsid w:val="2308324D"/>
    <w:rsid w:val="23361551"/>
    <w:rsid w:val="23553444"/>
    <w:rsid w:val="237B67A6"/>
    <w:rsid w:val="23E33E97"/>
    <w:rsid w:val="23EB7086"/>
    <w:rsid w:val="23EF74E8"/>
    <w:rsid w:val="245A4B65"/>
    <w:rsid w:val="24A3232E"/>
    <w:rsid w:val="250E59A5"/>
    <w:rsid w:val="2540053D"/>
    <w:rsid w:val="25572EC0"/>
    <w:rsid w:val="25583F8F"/>
    <w:rsid w:val="255E3759"/>
    <w:rsid w:val="25951A2F"/>
    <w:rsid w:val="25B2644E"/>
    <w:rsid w:val="25BE790E"/>
    <w:rsid w:val="25CF5599"/>
    <w:rsid w:val="260B5408"/>
    <w:rsid w:val="262F171A"/>
    <w:rsid w:val="26596DA2"/>
    <w:rsid w:val="26856677"/>
    <w:rsid w:val="27055672"/>
    <w:rsid w:val="2743530F"/>
    <w:rsid w:val="276D47EC"/>
    <w:rsid w:val="27A53E9F"/>
    <w:rsid w:val="27AE3794"/>
    <w:rsid w:val="27FB0559"/>
    <w:rsid w:val="28360A34"/>
    <w:rsid w:val="28662B70"/>
    <w:rsid w:val="293911B4"/>
    <w:rsid w:val="296C6E71"/>
    <w:rsid w:val="298D1D5A"/>
    <w:rsid w:val="29A55AC6"/>
    <w:rsid w:val="2A102E33"/>
    <w:rsid w:val="2A14318A"/>
    <w:rsid w:val="2A9015EA"/>
    <w:rsid w:val="2A903B65"/>
    <w:rsid w:val="2AE835BC"/>
    <w:rsid w:val="2B4F3A96"/>
    <w:rsid w:val="2C763105"/>
    <w:rsid w:val="2C871C77"/>
    <w:rsid w:val="2C934F3A"/>
    <w:rsid w:val="2C9D73E4"/>
    <w:rsid w:val="2CA32A24"/>
    <w:rsid w:val="2CD4437F"/>
    <w:rsid w:val="2CE0580D"/>
    <w:rsid w:val="2D2E2357"/>
    <w:rsid w:val="2D593610"/>
    <w:rsid w:val="2D5C6165"/>
    <w:rsid w:val="2D95431B"/>
    <w:rsid w:val="2D9D23B7"/>
    <w:rsid w:val="2DA53D49"/>
    <w:rsid w:val="2DCE6769"/>
    <w:rsid w:val="2DDD46D7"/>
    <w:rsid w:val="2DE64940"/>
    <w:rsid w:val="2DEA124C"/>
    <w:rsid w:val="2E0715EA"/>
    <w:rsid w:val="2E710F25"/>
    <w:rsid w:val="2E7C3A67"/>
    <w:rsid w:val="2E7E4C90"/>
    <w:rsid w:val="2EE81E1D"/>
    <w:rsid w:val="2F0A30BC"/>
    <w:rsid w:val="2F131321"/>
    <w:rsid w:val="2F2333F9"/>
    <w:rsid w:val="2F43443B"/>
    <w:rsid w:val="2F504A9E"/>
    <w:rsid w:val="2F717EA7"/>
    <w:rsid w:val="2F7C1090"/>
    <w:rsid w:val="2FB0199E"/>
    <w:rsid w:val="2FBF6F5E"/>
    <w:rsid w:val="305B3C7D"/>
    <w:rsid w:val="306A79DD"/>
    <w:rsid w:val="306F35B9"/>
    <w:rsid w:val="30820253"/>
    <w:rsid w:val="30A0380E"/>
    <w:rsid w:val="30C21AC9"/>
    <w:rsid w:val="30E54651"/>
    <w:rsid w:val="30EF619B"/>
    <w:rsid w:val="313633F3"/>
    <w:rsid w:val="313F2733"/>
    <w:rsid w:val="314544DD"/>
    <w:rsid w:val="314A3D5B"/>
    <w:rsid w:val="315B5D11"/>
    <w:rsid w:val="316B25B6"/>
    <w:rsid w:val="31855E3D"/>
    <w:rsid w:val="31911E35"/>
    <w:rsid w:val="31927D00"/>
    <w:rsid w:val="319C4144"/>
    <w:rsid w:val="32536E98"/>
    <w:rsid w:val="32B80440"/>
    <w:rsid w:val="32C77DEC"/>
    <w:rsid w:val="32FD0562"/>
    <w:rsid w:val="33097A48"/>
    <w:rsid w:val="3332690B"/>
    <w:rsid w:val="334457E6"/>
    <w:rsid w:val="33585D32"/>
    <w:rsid w:val="33A02863"/>
    <w:rsid w:val="340D04DF"/>
    <w:rsid w:val="34982340"/>
    <w:rsid w:val="34BA214A"/>
    <w:rsid w:val="34D96E0E"/>
    <w:rsid w:val="34E058A4"/>
    <w:rsid w:val="34E553D0"/>
    <w:rsid w:val="3517466A"/>
    <w:rsid w:val="3541567F"/>
    <w:rsid w:val="35561891"/>
    <w:rsid w:val="35C42453"/>
    <w:rsid w:val="3649547D"/>
    <w:rsid w:val="36745C03"/>
    <w:rsid w:val="36B97ADD"/>
    <w:rsid w:val="36BD4AB8"/>
    <w:rsid w:val="36ED3C18"/>
    <w:rsid w:val="37492D4C"/>
    <w:rsid w:val="379927A4"/>
    <w:rsid w:val="37A31932"/>
    <w:rsid w:val="37CF70A9"/>
    <w:rsid w:val="380776D4"/>
    <w:rsid w:val="38B707F1"/>
    <w:rsid w:val="39267194"/>
    <w:rsid w:val="396341AB"/>
    <w:rsid w:val="39897BF7"/>
    <w:rsid w:val="39CB465D"/>
    <w:rsid w:val="39D22E88"/>
    <w:rsid w:val="3A13730E"/>
    <w:rsid w:val="3A2200A7"/>
    <w:rsid w:val="3A657E26"/>
    <w:rsid w:val="3AD16475"/>
    <w:rsid w:val="3AD45936"/>
    <w:rsid w:val="3AE81C1E"/>
    <w:rsid w:val="3AF74B45"/>
    <w:rsid w:val="3BB6395F"/>
    <w:rsid w:val="3C27601C"/>
    <w:rsid w:val="3C40599B"/>
    <w:rsid w:val="3C540446"/>
    <w:rsid w:val="3C580DD8"/>
    <w:rsid w:val="3CBF57D4"/>
    <w:rsid w:val="3CEE5D90"/>
    <w:rsid w:val="3D26072E"/>
    <w:rsid w:val="3D2A07D7"/>
    <w:rsid w:val="3D8E5F6C"/>
    <w:rsid w:val="3DC9235F"/>
    <w:rsid w:val="3DD50095"/>
    <w:rsid w:val="3E045955"/>
    <w:rsid w:val="3E2928AA"/>
    <w:rsid w:val="3E7C30D1"/>
    <w:rsid w:val="3E8B42DC"/>
    <w:rsid w:val="3EC373AA"/>
    <w:rsid w:val="3FE878B6"/>
    <w:rsid w:val="405139D2"/>
    <w:rsid w:val="40774519"/>
    <w:rsid w:val="40B020B3"/>
    <w:rsid w:val="40ED6EDE"/>
    <w:rsid w:val="41160CBD"/>
    <w:rsid w:val="41451DE3"/>
    <w:rsid w:val="41CA2424"/>
    <w:rsid w:val="421C341D"/>
    <w:rsid w:val="4226002E"/>
    <w:rsid w:val="425101DD"/>
    <w:rsid w:val="425813A7"/>
    <w:rsid w:val="425E3CE6"/>
    <w:rsid w:val="42662B39"/>
    <w:rsid w:val="4299091D"/>
    <w:rsid w:val="42AF3F96"/>
    <w:rsid w:val="42E2671F"/>
    <w:rsid w:val="42EB1794"/>
    <w:rsid w:val="43025195"/>
    <w:rsid w:val="432D54DB"/>
    <w:rsid w:val="43312EC1"/>
    <w:rsid w:val="43B006A9"/>
    <w:rsid w:val="44673A6C"/>
    <w:rsid w:val="44727382"/>
    <w:rsid w:val="4488447C"/>
    <w:rsid w:val="44E05F8D"/>
    <w:rsid w:val="45A81610"/>
    <w:rsid w:val="45EF4720"/>
    <w:rsid w:val="45F86314"/>
    <w:rsid w:val="45FE5F70"/>
    <w:rsid w:val="463D1398"/>
    <w:rsid w:val="463D487E"/>
    <w:rsid w:val="46467996"/>
    <w:rsid w:val="467A71E9"/>
    <w:rsid w:val="46AE36CC"/>
    <w:rsid w:val="46CD5B27"/>
    <w:rsid w:val="472D4AE4"/>
    <w:rsid w:val="475A0E25"/>
    <w:rsid w:val="477433AA"/>
    <w:rsid w:val="47867564"/>
    <w:rsid w:val="47A1434D"/>
    <w:rsid w:val="47B13336"/>
    <w:rsid w:val="47EC2593"/>
    <w:rsid w:val="481D7858"/>
    <w:rsid w:val="4844501C"/>
    <w:rsid w:val="487D0486"/>
    <w:rsid w:val="487E6827"/>
    <w:rsid w:val="48803D8B"/>
    <w:rsid w:val="488C0ADD"/>
    <w:rsid w:val="488D1BB3"/>
    <w:rsid w:val="489F3B56"/>
    <w:rsid w:val="48D55C81"/>
    <w:rsid w:val="48FA37E7"/>
    <w:rsid w:val="49A557E3"/>
    <w:rsid w:val="49B56187"/>
    <w:rsid w:val="49E60E5D"/>
    <w:rsid w:val="4A1909A0"/>
    <w:rsid w:val="4A280604"/>
    <w:rsid w:val="4A852FFD"/>
    <w:rsid w:val="4A874B09"/>
    <w:rsid w:val="4AA8729E"/>
    <w:rsid w:val="4AF56EC6"/>
    <w:rsid w:val="4B777293"/>
    <w:rsid w:val="4BEE44F2"/>
    <w:rsid w:val="4BF547E4"/>
    <w:rsid w:val="4C452A2E"/>
    <w:rsid w:val="4C70693C"/>
    <w:rsid w:val="4C8537C9"/>
    <w:rsid w:val="4C957E34"/>
    <w:rsid w:val="4C9C21E9"/>
    <w:rsid w:val="4CA73341"/>
    <w:rsid w:val="4CA74208"/>
    <w:rsid w:val="4CC70070"/>
    <w:rsid w:val="4CF66DE9"/>
    <w:rsid w:val="4CFD5365"/>
    <w:rsid w:val="4D0B1526"/>
    <w:rsid w:val="4D234ECE"/>
    <w:rsid w:val="4DCB5250"/>
    <w:rsid w:val="4F873962"/>
    <w:rsid w:val="4F92738F"/>
    <w:rsid w:val="4FA662CE"/>
    <w:rsid w:val="4FB63CF5"/>
    <w:rsid w:val="4FC17B04"/>
    <w:rsid w:val="4FC82765"/>
    <w:rsid w:val="4FFF2B45"/>
    <w:rsid w:val="500037D4"/>
    <w:rsid w:val="50205D85"/>
    <w:rsid w:val="502305CE"/>
    <w:rsid w:val="50E20028"/>
    <w:rsid w:val="50EB273B"/>
    <w:rsid w:val="50F87889"/>
    <w:rsid w:val="514B229E"/>
    <w:rsid w:val="517860F3"/>
    <w:rsid w:val="51860E9E"/>
    <w:rsid w:val="52145196"/>
    <w:rsid w:val="524A4D58"/>
    <w:rsid w:val="526E436B"/>
    <w:rsid w:val="52955FB3"/>
    <w:rsid w:val="52960FF2"/>
    <w:rsid w:val="52F42575"/>
    <w:rsid w:val="534D12A4"/>
    <w:rsid w:val="53531B4B"/>
    <w:rsid w:val="536329BD"/>
    <w:rsid w:val="53647DA3"/>
    <w:rsid w:val="53BD5C40"/>
    <w:rsid w:val="5414133C"/>
    <w:rsid w:val="54BA2EAE"/>
    <w:rsid w:val="54FD5792"/>
    <w:rsid w:val="5514309E"/>
    <w:rsid w:val="55A93686"/>
    <w:rsid w:val="55CE4077"/>
    <w:rsid w:val="55E114D5"/>
    <w:rsid w:val="56163A6C"/>
    <w:rsid w:val="564A3398"/>
    <w:rsid w:val="56C4107E"/>
    <w:rsid w:val="57045D5A"/>
    <w:rsid w:val="578A7A88"/>
    <w:rsid w:val="578F58C9"/>
    <w:rsid w:val="582B1C27"/>
    <w:rsid w:val="584552BF"/>
    <w:rsid w:val="58D90B8A"/>
    <w:rsid w:val="58EC44DE"/>
    <w:rsid w:val="592120C0"/>
    <w:rsid w:val="59331502"/>
    <w:rsid w:val="594C5E66"/>
    <w:rsid w:val="599778BB"/>
    <w:rsid w:val="59AB15BF"/>
    <w:rsid w:val="59AD581F"/>
    <w:rsid w:val="59E545C2"/>
    <w:rsid w:val="5A0443D6"/>
    <w:rsid w:val="5A1401DE"/>
    <w:rsid w:val="5A401792"/>
    <w:rsid w:val="5A542D0D"/>
    <w:rsid w:val="5B491EA4"/>
    <w:rsid w:val="5B690751"/>
    <w:rsid w:val="5BA901B3"/>
    <w:rsid w:val="5C1D1464"/>
    <w:rsid w:val="5C9E6A24"/>
    <w:rsid w:val="5CC036D5"/>
    <w:rsid w:val="5D781F19"/>
    <w:rsid w:val="5D81625E"/>
    <w:rsid w:val="5D906BF5"/>
    <w:rsid w:val="5DB47334"/>
    <w:rsid w:val="5DC33751"/>
    <w:rsid w:val="5E172770"/>
    <w:rsid w:val="5E317753"/>
    <w:rsid w:val="5E3D0404"/>
    <w:rsid w:val="5E701B85"/>
    <w:rsid w:val="5EC62701"/>
    <w:rsid w:val="5F6E31CD"/>
    <w:rsid w:val="60286820"/>
    <w:rsid w:val="60555FE4"/>
    <w:rsid w:val="60CB4152"/>
    <w:rsid w:val="60CD632C"/>
    <w:rsid w:val="60CF3E48"/>
    <w:rsid w:val="60DC139E"/>
    <w:rsid w:val="60F40A4B"/>
    <w:rsid w:val="610F0A2B"/>
    <w:rsid w:val="612C42F2"/>
    <w:rsid w:val="612E74FF"/>
    <w:rsid w:val="61427D4E"/>
    <w:rsid w:val="616C4576"/>
    <w:rsid w:val="61AA72BF"/>
    <w:rsid w:val="61AE3C5C"/>
    <w:rsid w:val="61C1436C"/>
    <w:rsid w:val="61C331AA"/>
    <w:rsid w:val="61FD7C20"/>
    <w:rsid w:val="62153A13"/>
    <w:rsid w:val="62543634"/>
    <w:rsid w:val="6284234E"/>
    <w:rsid w:val="62AE1103"/>
    <w:rsid w:val="62F62752"/>
    <w:rsid w:val="63075C78"/>
    <w:rsid w:val="63332277"/>
    <w:rsid w:val="63990AB5"/>
    <w:rsid w:val="63D156D0"/>
    <w:rsid w:val="63F27705"/>
    <w:rsid w:val="640E53A4"/>
    <w:rsid w:val="645F16B8"/>
    <w:rsid w:val="647D06BF"/>
    <w:rsid w:val="64A0181F"/>
    <w:rsid w:val="64C54636"/>
    <w:rsid w:val="650961CA"/>
    <w:rsid w:val="650A4CE3"/>
    <w:rsid w:val="652D1B28"/>
    <w:rsid w:val="652F4849"/>
    <w:rsid w:val="653B6DB7"/>
    <w:rsid w:val="657B34F3"/>
    <w:rsid w:val="658D2653"/>
    <w:rsid w:val="65A208EF"/>
    <w:rsid w:val="65B6240C"/>
    <w:rsid w:val="65CA0FF0"/>
    <w:rsid w:val="65EE2C12"/>
    <w:rsid w:val="662B515E"/>
    <w:rsid w:val="6640611A"/>
    <w:rsid w:val="66787AF8"/>
    <w:rsid w:val="66C47EC6"/>
    <w:rsid w:val="66D53FEE"/>
    <w:rsid w:val="66F73C73"/>
    <w:rsid w:val="67201A40"/>
    <w:rsid w:val="67515402"/>
    <w:rsid w:val="67521566"/>
    <w:rsid w:val="679B4A1A"/>
    <w:rsid w:val="680A1C1C"/>
    <w:rsid w:val="680A7425"/>
    <w:rsid w:val="68224AB7"/>
    <w:rsid w:val="68371EB1"/>
    <w:rsid w:val="685A75E8"/>
    <w:rsid w:val="68615EDB"/>
    <w:rsid w:val="68F52B6F"/>
    <w:rsid w:val="68FD24D6"/>
    <w:rsid w:val="69017C1D"/>
    <w:rsid w:val="691A4459"/>
    <w:rsid w:val="692D0390"/>
    <w:rsid w:val="69556EB7"/>
    <w:rsid w:val="6A0551DE"/>
    <w:rsid w:val="6A120D25"/>
    <w:rsid w:val="6A2A5219"/>
    <w:rsid w:val="6AD7705D"/>
    <w:rsid w:val="6AF93859"/>
    <w:rsid w:val="6B005FF4"/>
    <w:rsid w:val="6B0F5C47"/>
    <w:rsid w:val="6B125020"/>
    <w:rsid w:val="6B2D30FB"/>
    <w:rsid w:val="6B4500D3"/>
    <w:rsid w:val="6B451D8D"/>
    <w:rsid w:val="6BD27171"/>
    <w:rsid w:val="6BFA7F32"/>
    <w:rsid w:val="6C963BCE"/>
    <w:rsid w:val="6CF1031B"/>
    <w:rsid w:val="6D184D18"/>
    <w:rsid w:val="6D36084C"/>
    <w:rsid w:val="6D6738CE"/>
    <w:rsid w:val="6D9825D1"/>
    <w:rsid w:val="6DCE1423"/>
    <w:rsid w:val="6EB9047F"/>
    <w:rsid w:val="6EC05DE2"/>
    <w:rsid w:val="6ED802A2"/>
    <w:rsid w:val="6F0A4E44"/>
    <w:rsid w:val="6F6C51AB"/>
    <w:rsid w:val="6F8705F8"/>
    <w:rsid w:val="6FC54D50"/>
    <w:rsid w:val="701A1470"/>
    <w:rsid w:val="70327D19"/>
    <w:rsid w:val="70516DB9"/>
    <w:rsid w:val="70572659"/>
    <w:rsid w:val="70F62EA0"/>
    <w:rsid w:val="710E46EC"/>
    <w:rsid w:val="71324139"/>
    <w:rsid w:val="717C6EE8"/>
    <w:rsid w:val="71B37311"/>
    <w:rsid w:val="721D2A0D"/>
    <w:rsid w:val="722517F9"/>
    <w:rsid w:val="725D4544"/>
    <w:rsid w:val="728523DB"/>
    <w:rsid w:val="72911A25"/>
    <w:rsid w:val="7375573E"/>
    <w:rsid w:val="73B04906"/>
    <w:rsid w:val="73C4743F"/>
    <w:rsid w:val="73CB0206"/>
    <w:rsid w:val="73DD45C2"/>
    <w:rsid w:val="74207C6A"/>
    <w:rsid w:val="7421270C"/>
    <w:rsid w:val="742A058B"/>
    <w:rsid w:val="74BA419B"/>
    <w:rsid w:val="74D41120"/>
    <w:rsid w:val="74DC27E3"/>
    <w:rsid w:val="74EA6C4B"/>
    <w:rsid w:val="751B464E"/>
    <w:rsid w:val="755C07D6"/>
    <w:rsid w:val="757E009D"/>
    <w:rsid w:val="75E87AC0"/>
    <w:rsid w:val="763318E4"/>
    <w:rsid w:val="76754CBB"/>
    <w:rsid w:val="76F81FC6"/>
    <w:rsid w:val="77127EBF"/>
    <w:rsid w:val="77535900"/>
    <w:rsid w:val="775C04C5"/>
    <w:rsid w:val="775E41A5"/>
    <w:rsid w:val="77753DAA"/>
    <w:rsid w:val="77A33325"/>
    <w:rsid w:val="77DB2ADA"/>
    <w:rsid w:val="77DD60B4"/>
    <w:rsid w:val="78186CD6"/>
    <w:rsid w:val="782A4815"/>
    <w:rsid w:val="78656D33"/>
    <w:rsid w:val="789828EB"/>
    <w:rsid w:val="78A9770C"/>
    <w:rsid w:val="78AB11DE"/>
    <w:rsid w:val="78CB590B"/>
    <w:rsid w:val="78D72BBA"/>
    <w:rsid w:val="79036C4A"/>
    <w:rsid w:val="792403B1"/>
    <w:rsid w:val="797804DF"/>
    <w:rsid w:val="79B62C2D"/>
    <w:rsid w:val="79B774AA"/>
    <w:rsid w:val="7A380AA1"/>
    <w:rsid w:val="7A933FC1"/>
    <w:rsid w:val="7B1153C0"/>
    <w:rsid w:val="7B43173F"/>
    <w:rsid w:val="7B4A5D58"/>
    <w:rsid w:val="7B823B87"/>
    <w:rsid w:val="7B8950E8"/>
    <w:rsid w:val="7B942819"/>
    <w:rsid w:val="7BE105FE"/>
    <w:rsid w:val="7C0E2CD6"/>
    <w:rsid w:val="7C4272C0"/>
    <w:rsid w:val="7C981137"/>
    <w:rsid w:val="7CA82D21"/>
    <w:rsid w:val="7D112490"/>
    <w:rsid w:val="7D1B3445"/>
    <w:rsid w:val="7D255511"/>
    <w:rsid w:val="7D46653C"/>
    <w:rsid w:val="7D5F6D3B"/>
    <w:rsid w:val="7D862BCD"/>
    <w:rsid w:val="7D9D01C0"/>
    <w:rsid w:val="7DAD344E"/>
    <w:rsid w:val="7DD55341"/>
    <w:rsid w:val="7DFA229B"/>
    <w:rsid w:val="7E727180"/>
    <w:rsid w:val="7E8F16A4"/>
    <w:rsid w:val="7F113252"/>
    <w:rsid w:val="7F4D6E65"/>
    <w:rsid w:val="7F4F5911"/>
    <w:rsid w:val="7F650ED9"/>
    <w:rsid w:val="7F8F63FA"/>
    <w:rsid w:val="7F916678"/>
    <w:rsid w:val="7FC43BA0"/>
    <w:rsid w:val="7FDC6A73"/>
    <w:rsid w:val="7FF76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unhideWhenUsed/>
    <w:qFormat/>
    <w:uiPriority w:val="99"/>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annotation subject"/>
    <w:basedOn w:val="2"/>
    <w:next w:val="2"/>
    <w:link w:val="15"/>
    <w:qFormat/>
    <w:uiPriority w:val="0"/>
    <w:rPr>
      <w:b/>
      <w:bCs/>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annotation reference"/>
    <w:basedOn w:val="8"/>
    <w:qFormat/>
    <w:uiPriority w:val="0"/>
    <w:rPr>
      <w:sz w:val="21"/>
      <w:szCs w:val="21"/>
    </w:rPr>
  </w:style>
  <w:style w:type="paragraph" w:styleId="10">
    <w:name w:val="List Paragraph"/>
    <w:basedOn w:val="1"/>
    <w:qFormat/>
    <w:uiPriority w:val="34"/>
    <w:pPr>
      <w:ind w:firstLine="420" w:firstLineChars="200"/>
    </w:pPr>
  </w:style>
  <w:style w:type="paragraph" w:customStyle="1" w:styleId="11">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2">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3">
    <w:name w:val="修订3"/>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
    <w:name w:val="批注文字 字符"/>
    <w:basedOn w:val="8"/>
    <w:link w:val="2"/>
    <w:qFormat/>
    <w:uiPriority w:val="99"/>
    <w:rPr>
      <w:rFonts w:asciiTheme="minorHAnsi" w:hAnsiTheme="minorHAnsi" w:eastAsiaTheme="minorEastAsia" w:cstheme="minorBidi"/>
      <w:kern w:val="2"/>
      <w:sz w:val="21"/>
      <w:szCs w:val="22"/>
    </w:rPr>
  </w:style>
  <w:style w:type="character" w:customStyle="1" w:styleId="15">
    <w:name w:val="批注主题 字符"/>
    <w:basedOn w:val="14"/>
    <w:link w:val="5"/>
    <w:qFormat/>
    <w:uiPriority w:val="0"/>
    <w:rPr>
      <w:rFonts w:asciiTheme="minorHAnsi" w:hAnsiTheme="minorHAnsi" w:eastAsiaTheme="minorEastAsia" w:cstheme="minorBidi"/>
      <w:b/>
      <w:bCs/>
      <w:kern w:val="2"/>
      <w:sz w:val="21"/>
      <w:szCs w:val="22"/>
    </w:rPr>
  </w:style>
  <w:style w:type="paragraph" w:customStyle="1" w:styleId="16">
    <w:name w:val="修订4"/>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7">
    <w:name w:val="修订5"/>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8">
    <w:name w:val="修订6"/>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9">
    <w:name w:val="修订7"/>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0">
    <w:name w:val="修订8"/>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1">
    <w:name w:val="修订9"/>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2">
    <w:name w:val="修订10"/>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3">
    <w:name w:val="修订1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4">
    <w:name w:val="修订12"/>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5">
    <w:name w:val="Revision"/>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C31AAE-A65A-4E69-A7A3-3CC3F67A330C}">
  <ds:schemaRefs/>
</ds:datastoreItem>
</file>

<file path=docProps/app.xml><?xml version="1.0" encoding="utf-8"?>
<Properties xmlns="http://schemas.openxmlformats.org/officeDocument/2006/extended-properties" xmlns:vt="http://schemas.openxmlformats.org/officeDocument/2006/docPropsVTypes">
  <Template>Normal</Template>
  <Pages>36</Pages>
  <Words>4788</Words>
  <Characters>27296</Characters>
  <Lines>227</Lines>
  <Paragraphs>64</Paragraphs>
  <TotalTime>34</TotalTime>
  <ScaleCrop>false</ScaleCrop>
  <LinksUpToDate>false</LinksUpToDate>
  <CharactersWithSpaces>32020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2025-01-09T03:24:00Z</dcterms:created>
  <dc:creator>xuchen.zhang</dc:creator>
  <cp:lastModifiedBy>qianyi.jia</cp:lastModifiedBy>
  <cp:lastPrinted>2024-10-23T10:08:00Z</cp:lastPrinted>
  <dcterms:modified xsi:type="dcterms:W3CDTF">2026-03-23T07:40:27Z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115A95668FBC4FE493120814206CFB4D</vt:lpwstr>
  </property>
</Properties>
</file>