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华文仿宋" w:hAnsi="华文仿宋" w:eastAsia="华文仿宋" w:cs="华文仿宋"/>
          <w:b/>
          <w:bCs/>
          <w:sz w:val="28"/>
          <w:szCs w:val="28"/>
          <w:highlight w:val="none"/>
        </w:rPr>
      </w:pPr>
      <w:r>
        <w:rPr>
          <w:rFonts w:hint="eastAsia" w:ascii="华文仿宋" w:hAnsi="华文仿宋" w:eastAsia="华文仿宋" w:cs="华文仿宋"/>
          <w:b/>
          <w:bCs/>
          <w:sz w:val="28"/>
          <w:szCs w:val="28"/>
          <w:highlight w:val="none"/>
        </w:rPr>
        <w:t>渤银理财理财有术系列持盈增利14天最短持有期固收理财产品3号</w:t>
      </w:r>
    </w:p>
    <w:p>
      <w:pPr>
        <w:jc w:val="center"/>
        <w:rPr>
          <w:b/>
          <w:bCs/>
          <w:sz w:val="20"/>
          <w:szCs w:val="21"/>
          <w:highlight w:val="none"/>
        </w:rPr>
      </w:pPr>
      <w:r>
        <w:rPr>
          <w:rFonts w:ascii="华文仿宋" w:hAnsi="华文仿宋" w:eastAsia="华文仿宋" w:cs="华文仿宋"/>
          <w:b/>
          <w:bCs/>
          <w:sz w:val="28"/>
          <w:szCs w:val="28"/>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将持续配合管理人或销售服务机构不时更新的措施和要求。若</w:t>
      </w:r>
      <w:r>
        <w:rPr>
          <w:rFonts w:ascii="宋体" w:hAnsi="宋体" w:eastAsia="宋体"/>
          <w:sz w:val="24"/>
          <w:szCs w:val="24"/>
          <w:highlight w:val="none"/>
        </w:rPr>
        <w:t>投资者</w:t>
      </w:r>
      <w:r>
        <w:rPr>
          <w:rFonts w:hint="eastAsia" w:ascii="宋体" w:hAnsi="宋体" w:eastAsia="宋体"/>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sz w:val="24"/>
          <w:szCs w:val="24"/>
          <w:highlight w:val="none"/>
        </w:rPr>
        <w:t>投资者</w:t>
      </w:r>
      <w:r>
        <w:rPr>
          <w:rFonts w:hint="eastAsia" w:ascii="宋体" w:hAnsi="宋体" w:eastAsia="宋体"/>
          <w:sz w:val="24"/>
          <w:szCs w:val="24"/>
          <w:highlight w:val="none"/>
        </w:rPr>
        <w:t>届时持有的理财产品而无需事先通知</w:t>
      </w:r>
      <w:r>
        <w:rPr>
          <w:rFonts w:ascii="宋体" w:hAnsi="宋体" w:eastAsia="宋体"/>
          <w:sz w:val="24"/>
          <w:szCs w:val="24"/>
          <w:highlight w:val="none"/>
        </w:rPr>
        <w:t>投资者</w:t>
      </w:r>
      <w:r>
        <w:rPr>
          <w:rFonts w:hint="eastAsia" w:ascii="宋体" w:hAnsi="宋体" w:eastAsia="宋体"/>
          <w:sz w:val="24"/>
          <w:szCs w:val="24"/>
          <w:highlight w:val="none"/>
        </w:rPr>
        <w:t>或征得</w:t>
      </w:r>
      <w:r>
        <w:rPr>
          <w:rFonts w:ascii="宋体" w:hAnsi="宋体" w:eastAsia="宋体"/>
          <w:sz w:val="24"/>
          <w:szCs w:val="24"/>
          <w:highlight w:val="none"/>
        </w:rPr>
        <w:t>投资者</w:t>
      </w:r>
      <w:r>
        <w:rPr>
          <w:rFonts w:hint="eastAsia" w:ascii="宋体" w:hAnsi="宋体" w:eastAsia="宋体"/>
          <w:sz w:val="24"/>
          <w:szCs w:val="24"/>
          <w:highlight w:val="none"/>
        </w:rPr>
        <w:t>的同意，</w:t>
      </w:r>
      <w:r>
        <w:rPr>
          <w:rFonts w:ascii="宋体" w:hAnsi="宋体" w:eastAsia="宋体"/>
          <w:sz w:val="24"/>
          <w:szCs w:val="24"/>
          <w:highlight w:val="none"/>
        </w:rPr>
        <w:t>投资者</w:t>
      </w:r>
      <w:r>
        <w:rPr>
          <w:rFonts w:hint="eastAsia" w:ascii="宋体" w:hAnsi="宋体" w:eastAsia="宋体"/>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申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本理财产品属于固定收益类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，【投资于存款、债券等债权类资产的比例不低于80%】</w:t>
      </w:r>
      <w:r>
        <w:rPr>
          <w:rFonts w:ascii="宋体" w:hAnsi="宋体" w:eastAsia="宋体"/>
          <w:sz w:val="24"/>
          <w:szCs w:val="24"/>
          <w:highlight w:val="none"/>
        </w:rPr>
        <w:t>。</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2.内蒙古银行：指内蒙古银行股份有限公司。</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3.浦发银行：指上海浦东发展银行股份有限公司。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.产品托管人/</w:t>
      </w:r>
      <w:r>
        <w:rPr>
          <w:rFonts w:ascii="宋体" w:hAnsi="宋体" w:eastAsia="宋体"/>
          <w:sz w:val="24"/>
          <w:szCs w:val="24"/>
          <w:highlight w:val="none"/>
        </w:rPr>
        <w:t>托管人：指</w:t>
      </w:r>
      <w:r>
        <w:rPr>
          <w:rFonts w:hint="eastAsia" w:ascii="宋体" w:hAnsi="宋体" w:eastAsia="宋体"/>
          <w:sz w:val="24"/>
          <w:szCs w:val="24"/>
          <w:highlight w:val="none"/>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10</w:t>
      </w:r>
      <w:r>
        <w:rPr>
          <w:rFonts w:hint="eastAsia" w:ascii="宋体" w:hAnsi="宋体" w:eastAsia="宋体"/>
          <w:sz w:val="24"/>
          <w:szCs w:val="24"/>
          <w:highlight w:val="none"/>
        </w:rPr>
        <w:t>.理财产品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11</w:t>
      </w:r>
      <w:r>
        <w:rPr>
          <w:rFonts w:hint="eastAsia" w:ascii="宋体" w:hAnsi="宋体" w:eastAsia="宋体"/>
          <w:sz w:val="24"/>
          <w:szCs w:val="24"/>
          <w:highlight w:val="none"/>
        </w:rPr>
        <w:t>.</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w:t>
      </w:r>
      <w:r>
        <w:rPr>
          <w:rFonts w:ascii="宋体" w:hAnsi="宋体" w:eastAsia="宋体"/>
          <w:sz w:val="24"/>
          <w:szCs w:val="24"/>
          <w:highlight w:val="none"/>
        </w:rPr>
        <w:t>《</w:t>
      </w:r>
      <w:r>
        <w:rPr>
          <w:rFonts w:hint="eastAsia" w:ascii="宋体" w:hAnsi="宋体" w:eastAsia="宋体"/>
          <w:sz w:val="24"/>
          <w:szCs w:val="24"/>
          <w:highlight w:val="none"/>
        </w:rPr>
        <w:t>渤银理财理财有术系列持盈增利14天最短持有期固收理财产品3号产品说明书</w:t>
      </w:r>
      <w:r>
        <w:rPr>
          <w:rFonts w:ascii="宋体" w:hAnsi="宋体" w:eastAsia="宋体"/>
          <w:sz w:val="24"/>
          <w:szCs w:val="24"/>
          <w:highlight w:val="none"/>
        </w:rPr>
        <w:t>》</w:t>
      </w:r>
      <w:r>
        <w:rPr>
          <w:rFonts w:hint="eastAsia" w:ascii="宋体" w:hAnsi="宋体" w:eastAsia="宋体"/>
          <w:sz w:val="24"/>
          <w:szCs w:val="24"/>
          <w:highlight w:val="none"/>
        </w:rPr>
        <w:t>】</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13.开放日：指为投资者办理本理财产品份额申购、赎回或其他业务的交易日。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14.申购/赎回期：指产品开放允许投资者申购/赎回的一段特定期间。投资者在申购期或赎回期提交申购或赎回申请，并不代表申购/赎回成功，管理人将在申购/赎回确认日确认投资者是否申购/赎回成功。</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15.投资周期赎回日：指客户所持份额对应投资周期的最后一个自然日，如遇非交易日则自动顺延至下一交易日。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16.申购、赎回确认日：指产品管理人确认投资者申购</w:t>
      </w:r>
      <w:r>
        <w:rPr>
          <w:rFonts w:ascii="宋体" w:hAnsi="宋体" w:eastAsia="宋体"/>
          <w:sz w:val="24"/>
          <w:szCs w:val="24"/>
          <w:highlight w:val="none"/>
        </w:rPr>
        <w:t>/赎回申请有效性的当日</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产品名称：渤银理财理财有术系列持盈增利14天最短持有期固收理财产品3号</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产品代码：LCYS14CYZ03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r>
              <w:rPr>
                <w:rFonts w:hint="eastAsia" w:ascii="宋体" w:hAnsi="宋体" w:eastAsia="宋体" w:cs="宋体"/>
                <w:sz w:val="24"/>
                <w:szCs w:val="24"/>
                <w:highlight w:val="none"/>
              </w:rPr>
              <w:t>★A类份额：理财有术持盈增利14天最短持有期固收3号理财产品A</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cs="宋体"/>
                <w:sz w:val="24"/>
                <w:szCs w:val="24"/>
                <w:highlight w:val="none"/>
              </w:rPr>
              <w:t>★A类份额：LCYS14CYZ03A</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Z7008425000053</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1.产品份额类别：A类份额</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如理财产品设置不同的产品份额，各产品份额净值将分别计算及公告，投资者可根据实际情况自行选择认/申购的产品份额类别。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6.</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R2（较低/中低风险）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w:t>
            </w:r>
            <w:bookmarkStart w:id="0" w:name="_GoBack"/>
            <w:bookmarkEnd w:id="0"/>
            <w:r>
              <w:rPr>
                <w:rFonts w:hint="eastAsia" w:ascii="宋体" w:hAnsi="宋体" w:eastAsia="宋体"/>
                <w:sz w:val="24"/>
                <w:szCs w:val="24"/>
                <w:highlight w:val="none"/>
              </w:rPr>
              <w:t>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96" w:type="dxa"/>
            <w:vAlign w:val="center"/>
          </w:tcPr>
          <w:p>
            <w:pPr>
              <w:spacing w:line="300" w:lineRule="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★A类份额：内蒙古银行股份有限公司</w:t>
            </w:r>
            <w:r>
              <w:rPr>
                <w:rFonts w:hint="eastAsia" w:ascii="宋体" w:hAnsi="宋体" w:eastAsia="宋体" w:cs="宋体"/>
                <w:sz w:val="24"/>
                <w:szCs w:val="24"/>
                <w:highlight w:val="none"/>
                <w:lang w:eastAsia="zh-CN"/>
              </w:rPr>
              <w:t>、上海浦东发展银行股份有限公司、重庆富民银行股份有限公司、</w:t>
            </w:r>
            <w:r>
              <w:rPr>
                <w:rFonts w:hint="eastAsia" w:ascii="宋体" w:hAnsi="宋体" w:eastAsia="宋体" w:cs="宋体"/>
                <w:sz w:val="24"/>
                <w:szCs w:val="24"/>
                <w:highlight w:val="none"/>
                <w:lang w:val="en-US" w:eastAsia="zh-CN"/>
              </w:rPr>
              <w:t>渤海银行股份有限公司、广东华润银行股份有限公司</w:t>
            </w:r>
            <w:r>
              <w:rPr>
                <w:rFonts w:hint="eastAsia" w:ascii="宋体" w:hAnsi="宋体" w:eastAsia="宋体" w:cs="宋体"/>
                <w:sz w:val="24"/>
                <w:szCs w:val="24"/>
                <w:highlight w:val="none"/>
              </w:rPr>
              <w:t>，以下简称“内蒙古银行”“</w:t>
            </w:r>
            <w:r>
              <w:rPr>
                <w:rFonts w:hint="eastAsia" w:ascii="宋体" w:hAnsi="宋体" w:eastAsia="宋体" w:cs="宋体"/>
                <w:sz w:val="24"/>
                <w:szCs w:val="24"/>
                <w:highlight w:val="none"/>
                <w:lang w:val="en-US" w:eastAsia="zh-CN"/>
              </w:rPr>
              <w:t>浦发</w:t>
            </w:r>
            <w:r>
              <w:rPr>
                <w:rFonts w:hint="eastAsia" w:ascii="宋体" w:hAnsi="宋体" w:eastAsia="宋体" w:cs="宋体"/>
                <w:sz w:val="24"/>
                <w:szCs w:val="24"/>
                <w:highlight w:val="none"/>
              </w:rPr>
              <w:t>银行”“</w:t>
            </w:r>
            <w:r>
              <w:rPr>
                <w:rFonts w:hint="eastAsia" w:ascii="宋体" w:hAnsi="宋体" w:eastAsia="宋体" w:cs="宋体"/>
                <w:sz w:val="24"/>
                <w:szCs w:val="24"/>
                <w:highlight w:val="none"/>
                <w:lang w:val="en-US" w:eastAsia="zh-CN"/>
              </w:rPr>
              <w:t>富民</w:t>
            </w:r>
            <w:r>
              <w:rPr>
                <w:rFonts w:hint="eastAsia" w:ascii="宋体" w:hAnsi="宋体" w:eastAsia="宋体" w:cs="宋体"/>
                <w:sz w:val="24"/>
                <w:szCs w:val="24"/>
                <w:highlight w:val="none"/>
              </w:rPr>
              <w:t>银行”</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渤海银行</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华润银行</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“代销机构”</w:t>
            </w:r>
            <w:r>
              <w:rPr>
                <w:rFonts w:hint="eastAsia" w:ascii="宋体" w:hAnsi="宋体" w:eastAsia="宋体" w:cs="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lang w:val="en-US" w:eastAsia="zh-CN"/>
              </w:rPr>
              <w:t>渤银理财有限责任公司，</w:t>
            </w:r>
            <w:r>
              <w:rPr>
                <w:rFonts w:hint="eastAsia" w:ascii="宋体" w:hAnsi="宋体" w:eastAsia="宋体" w:cs="宋体"/>
                <w:sz w:val="24"/>
                <w:szCs w:val="24"/>
                <w:highlight w:val="none"/>
              </w:rPr>
              <w:t>以下简称“</w:t>
            </w:r>
            <w:r>
              <w:rPr>
                <w:rFonts w:hint="eastAsia" w:ascii="宋体" w:hAnsi="宋体" w:eastAsia="宋体" w:cs="宋体"/>
                <w:sz w:val="24"/>
                <w:szCs w:val="24"/>
                <w:highlight w:val="none"/>
                <w:lang w:val="en-US" w:eastAsia="zh-CN"/>
              </w:rPr>
              <w:t>渤银理财</w:t>
            </w:r>
            <w:r>
              <w:rPr>
                <w:rFonts w:hint="eastAsia" w:ascii="宋体" w:hAnsi="宋体" w:eastAsia="宋体" w:cs="宋体"/>
                <w:sz w:val="24"/>
                <w:szCs w:val="24"/>
                <w:highlight w:val="none"/>
              </w:rPr>
              <w:t>”</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产品管理人以及符合《理财公司理财产品销售管理暂行办法》和国家金融监督管理总局规定，办理理财产品销售业务的机构。管理人有权增加其他销售服务机构，如有新增销售服务机构，以管理人公告为准。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★A类份额</w:t>
            </w:r>
            <w:r>
              <w:rPr>
                <w:rFonts w:hint="eastAsia" w:ascii="宋体" w:hAnsi="宋体" w:eastAsia="宋体"/>
                <w:sz w:val="24"/>
                <w:szCs w:val="24"/>
                <w:highlight w:val="none"/>
              </w:rPr>
              <w:t>：</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渤银理财建议，R2（较低/中低风险）评级产品适合风险承受能力为C2稳健型、C3平衡型、C4成长型和C5进取型客户购买。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【500亿】元</w:t>
            </w:r>
            <w:r>
              <w:rPr>
                <w:rFonts w:ascii="宋体" w:hAnsi="宋体" w:eastAsia="宋体"/>
                <w:sz w:val="24"/>
                <w:szCs w:val="24"/>
                <w:highlight w:val="none"/>
              </w:rPr>
              <w:t>，发行规模下限为</w:t>
            </w:r>
            <w:r>
              <w:rPr>
                <w:rFonts w:hint="eastAsia" w:ascii="宋体" w:hAnsi="宋体" w:eastAsia="宋体"/>
                <w:sz w:val="24"/>
                <w:szCs w:val="24"/>
                <w:highlight w:val="none"/>
              </w:rPr>
              <w:t>【40万】元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认购/申购起点</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A类份额】：认购/申购起点为人民币【1】元，超过认购/申购起点部分以人民币【1】元整数倍递增。</w:t>
            </w:r>
            <w:r>
              <w:rPr>
                <w:rFonts w:ascii="宋体" w:hAnsi="宋体" w:eastAsia="宋体"/>
                <w:sz w:val="24"/>
                <w:szCs w:val="24"/>
                <w:highlight w:val="none"/>
              </w:rPr>
              <w:t>追加</w:t>
            </w:r>
            <w:r>
              <w:rPr>
                <w:rFonts w:hint="eastAsia" w:ascii="宋体" w:hAnsi="宋体" w:eastAsia="宋体"/>
                <w:sz w:val="24"/>
                <w:szCs w:val="24"/>
                <w:highlight w:val="none"/>
              </w:rPr>
              <w:t>认购/申购起点金额为【1】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管理人有权对不同产品份额设置不同的认/申购起点并进行调整，同时提前以公告形式披露具体的调整规则。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投资者可通过销售服务机构手机银行、网银或者产品管理人认可的其他方式办理认/申购本理财产品份额。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单笔认/申购上限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单笔认/申购上限为【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认/申购</w:t>
            </w:r>
            <w:r>
              <w:rPr>
                <w:rFonts w:ascii="宋体" w:hAnsi="宋体" w:eastAsia="宋体"/>
                <w:sz w:val="24"/>
                <w:szCs w:val="24"/>
                <w:highlight w:val="none"/>
              </w:rPr>
              <w:t>上限为</w:t>
            </w:r>
            <w:r>
              <w:rPr>
                <w:rFonts w:hint="eastAsia" w:ascii="宋体" w:hAnsi="宋体" w:eastAsia="宋体"/>
                <w:sz w:val="24"/>
                <w:szCs w:val="24"/>
                <w:highlight w:val="none"/>
                <w:lang w:eastAsia="zh-CN"/>
              </w:rPr>
              <w:t>【2亿】元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如发生超额申请，管理人有权根据实际情况决定拒绝或受理。管理人有权以公告形式调整单笔认/申购上限。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96"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eastAsia="zh-CN"/>
              </w:rPr>
              <w:t>【2亿】元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A类份额】：个人投资者单笔赎回上限为【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】份，机构投资者单笔赎回上限为</w:t>
            </w:r>
            <w:r>
              <w:rPr>
                <w:rFonts w:hint="eastAsia" w:ascii="宋体" w:hAnsi="宋体" w:eastAsia="宋体"/>
                <w:sz w:val="24"/>
                <w:szCs w:val="24"/>
                <w:highlight w:val="none"/>
                <w:lang w:eastAsia="zh-CN"/>
              </w:rPr>
              <w:t>【2亿】份</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A类份额】：个人投资者单日累计赎回上限为【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】份，机构投资者单日累计赎回上限为</w:t>
            </w:r>
            <w:r>
              <w:rPr>
                <w:rFonts w:hint="eastAsia" w:ascii="宋体" w:hAnsi="宋体" w:eastAsia="宋体"/>
                <w:sz w:val="24"/>
                <w:szCs w:val="24"/>
                <w:highlight w:val="none"/>
                <w:lang w:eastAsia="zh-CN"/>
              </w:rPr>
              <w:t>【2亿】份</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w:t>
            </w:r>
            <w:r>
              <w:rPr>
                <w:rFonts w:hint="eastAsia" w:ascii="宋体" w:hAnsi="宋体" w:eastAsia="宋体"/>
                <w:sz w:val="24"/>
                <w:szCs w:val="24"/>
                <w:highlight w:val="none"/>
              </w:rPr>
              <w:t>形式调整单日累计赎回上限</w:t>
            </w:r>
            <w:r>
              <w:rPr>
                <w:rFonts w:ascii="宋体" w:hAnsi="宋体" w:eastAsia="宋体"/>
                <w:sz w:val="24"/>
                <w:szCs w:val="24"/>
                <w:highlight w:val="none"/>
              </w:rPr>
              <w:t>。如发生超额申请，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为【2025】年【2】月【7】日【09:00】至【2025】年【2】月【10】日【15:30】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为【2025】年【2】月【11】日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产品的计划成立日为【2025】年【2】月【11】日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96"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本理财产品存续期内的每个交易日为产品开放日。</w:t>
            </w:r>
            <w:r>
              <w:rPr>
                <w:rFonts w:ascii="宋体" w:hAnsi="宋体" w:eastAsia="宋体"/>
                <w:sz w:val="24"/>
                <w:szCs w:val="24"/>
                <w:highlight w:val="none"/>
              </w:rPr>
              <w:t>开放</w:t>
            </w:r>
            <w:r>
              <w:rPr>
                <w:rFonts w:hint="eastAsia" w:ascii="宋体" w:hAnsi="宋体" w:eastAsia="宋体"/>
                <w:sz w:val="24"/>
                <w:szCs w:val="24"/>
                <w:highlight w:val="none"/>
              </w:rPr>
              <w:t>日支持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w:t>
            </w:r>
            <w:r>
              <w:rPr>
                <w:rFonts w:hint="eastAsia" w:ascii="宋体" w:hAnsi="宋体" w:eastAsia="宋体"/>
                <w:sz w:val="24"/>
                <w:szCs w:val="24"/>
                <w:highlight w:val="none"/>
              </w:rPr>
              <w:t>（</w:t>
            </w:r>
            <w:r>
              <w:rPr>
                <w:rFonts w:ascii="宋体" w:hAnsi="宋体" w:eastAsia="宋体"/>
                <w:sz w:val="24"/>
                <w:szCs w:val="24"/>
                <w:highlight w:val="none"/>
              </w:rPr>
              <w:t>临时暂停申购、赎回的情形除外</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w:t>
            </w:r>
            <w:r>
              <w:rPr>
                <w:rFonts w:ascii="宋体" w:hAnsi="宋体" w:eastAsia="宋体"/>
                <w:sz w:val="24"/>
                <w:szCs w:val="24"/>
                <w:highlight w:val="none"/>
              </w:rPr>
              <w:t>临时暂停申购、赎回</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最短持有期和最短持有期结束日</w:t>
            </w:r>
          </w:p>
        </w:tc>
        <w:tc>
          <w:tcPr>
            <w:tcW w:w="6096" w:type="dxa"/>
            <w:vAlign w:val="center"/>
          </w:tcPr>
          <w:p>
            <w:pPr>
              <w:spacing w:line="300" w:lineRule="auto"/>
              <w:rPr>
                <w:rFonts w:ascii="宋体" w:hAnsi="宋体" w:eastAsia="宋体" w:cs="宋体"/>
                <w:b/>
                <w:bCs/>
                <w:sz w:val="24"/>
                <w:szCs w:val="24"/>
                <w:highlight w:val="none"/>
              </w:rPr>
            </w:pPr>
            <w:r>
              <w:rPr>
                <w:rFonts w:ascii="宋体" w:hAnsi="宋体" w:eastAsia="宋体" w:cs="宋体"/>
                <w:b/>
                <w:bCs/>
                <w:sz w:val="24"/>
                <w:szCs w:val="24"/>
                <w:highlight w:val="none"/>
              </w:rPr>
              <w:t>本产品最短持有期为【14】个自然日。</w:t>
            </w:r>
          </w:p>
          <w:p>
            <w:pPr>
              <w:spacing w:line="300" w:lineRule="auto"/>
              <w:rPr>
                <w:rFonts w:hint="eastAsia" w:ascii="宋体" w:hAnsi="宋体" w:eastAsia="宋体"/>
                <w:sz w:val="24"/>
                <w:szCs w:val="24"/>
                <w:highlight w:val="none"/>
              </w:rPr>
            </w:pPr>
            <w:r>
              <w:rPr>
                <w:rFonts w:ascii="宋体" w:hAnsi="宋体" w:eastAsia="宋体" w:cs="宋体"/>
                <w:b/>
                <w:bCs/>
                <w:sz w:val="24"/>
                <w:szCs w:val="24"/>
                <w:highlight w:val="none"/>
              </w:rPr>
              <w:t>投资者每笔认/申购份额自产品成立日（对认购份额而言）或申购申请对应的确认日T日起，最短需持有14个自然日，最短持有期结束日为第T+13个自然日，若第T+13个自然日为非开放日则顺延至下一开放日。投资者可在认/申购的份额确认后于最短持有期结束日（含）及后续每个开放日申请赎回。 由于最短持有期结束日遇非开放日顺延至下一开放日等原因，投资者最短持有期实际上可能长于</w:t>
            </w:r>
            <w:r>
              <w:rPr>
                <w:rFonts w:hint="eastAsia" w:ascii="宋体" w:hAnsi="宋体" w:eastAsia="宋体" w:cs="宋体"/>
                <w:b/>
                <w:bCs/>
                <w:sz w:val="24"/>
                <w:szCs w:val="24"/>
                <w:highlight w:val="none"/>
                <w:lang w:val="en-US" w:eastAsia="zh-CN"/>
              </w:rPr>
              <w:t>14</w:t>
            </w:r>
            <w:r>
              <w:rPr>
                <w:rFonts w:ascii="宋体" w:hAnsi="宋体" w:eastAsia="宋体" w:cs="宋体"/>
                <w:b/>
                <w:bCs/>
                <w:sz w:val="24"/>
                <w:szCs w:val="24"/>
                <w:highlight w:val="none"/>
              </w:rPr>
              <w:t>个自然日。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96" w:type="dxa"/>
            <w:vAlign w:val="center"/>
          </w:tcPr>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为无固定期限</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交易时间</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本理财产品交易时间为每个开放日的【09：00-15：30（不含）】</w:t>
            </w:r>
            <w:r>
              <w:rPr>
                <w:rFonts w:ascii="宋体" w:hAnsi="宋体" w:eastAsia="宋体"/>
                <w:sz w:val="24"/>
                <w:szCs w:val="24"/>
                <w:highlight w:val="none"/>
              </w:rPr>
              <w:t>，开放日</w:t>
            </w:r>
            <w:r>
              <w:rPr>
                <w:rFonts w:hint="eastAsia" w:ascii="宋体" w:hAnsi="宋体" w:eastAsia="宋体"/>
                <w:sz w:val="24"/>
                <w:szCs w:val="24"/>
                <w:highlight w:val="none"/>
              </w:rPr>
              <w:t>支持申购、赎回。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申购、赎回申请与确认</w:t>
            </w:r>
          </w:p>
        </w:tc>
        <w:tc>
          <w:tcPr>
            <w:tcW w:w="6096" w:type="dxa"/>
            <w:vAlign w:val="center"/>
          </w:tcPr>
          <w:p>
            <w:pPr>
              <w:numPr>
                <w:ilvl w:val="255"/>
                <w:numId w:val="0"/>
              </w:numPr>
              <w:spacing w:line="300" w:lineRule="auto"/>
              <w:rPr>
                <w:rFonts w:ascii="宋体" w:hAnsi="宋体" w:eastAsia="宋体"/>
                <w:sz w:val="24"/>
                <w:szCs w:val="24"/>
                <w:highlight w:val="none"/>
              </w:rPr>
            </w:pPr>
            <w:r>
              <w:rPr>
                <w:rFonts w:ascii="宋体" w:hAnsi="宋体" w:eastAsia="宋体"/>
                <w:sz w:val="24"/>
                <w:szCs w:val="24"/>
                <w:highlight w:val="none"/>
              </w:rPr>
              <w:t>（1）申购。投资者在开放日【09：00-15：30（不含）】提交的申购申请，视为该开放日的申购申请，管理人以该开放日份额净值进行确认，确认日为该申请对应开放日后的第【1】个交易日；本开放日【15:30】至下一开放日【09:00】（不含）提交的申购申请，视为下一开放日的申购申请，管理人以下一开放日的份额净值进行确认，确认日为下一开放日后的第【1】个交易日。</w:t>
            </w:r>
          </w:p>
          <w:p>
            <w:pPr>
              <w:numPr>
                <w:ilvl w:val="255"/>
                <w:numId w:val="0"/>
              </w:numPr>
              <w:spacing w:line="300" w:lineRule="auto"/>
              <w:rPr>
                <w:highlight w:val="none"/>
              </w:rPr>
            </w:pPr>
            <w:r>
              <w:rPr>
                <w:rFonts w:ascii="宋体" w:hAnsi="宋体" w:eastAsia="宋体"/>
                <w:sz w:val="24"/>
                <w:szCs w:val="24"/>
                <w:highlight w:val="none"/>
              </w:rPr>
              <w:t>（2）赎回。投资者在开放日【09：00-15：30（不含）】提交的赎回申请，视为该开放日的赎回申请，管理人以该开放日份额净值进行确认，确认日为该申请对应开放日后的第【1】个交易日；本开放日【15:30】至下一开放日【09:00】（不含）提交的赎回申请，视为下一开放日的赎回申请，管理人以下一开放日的份额净值进行确认，确认日为下一开放日后的第【1】个交易日。</w:t>
            </w:r>
            <w:r>
              <w:rPr>
                <w:rFonts w:ascii="宋体" w:hAnsi="宋体" w:eastAsia="宋体" w:cs="宋体"/>
                <w:b/>
                <w:bCs/>
                <w:sz w:val="24"/>
                <w:szCs w:val="24"/>
                <w:highlight w:val="none"/>
              </w:rPr>
              <w:t>投资者提交赎回申请需满足最短持有期的要求</w:t>
            </w:r>
            <w:r>
              <w:rPr>
                <w:rFonts w:hint="eastAsia" w:ascii="宋体" w:hAnsi="宋体" w:eastAsia="宋体"/>
                <w:sz w:val="24"/>
                <w:szCs w:val="24"/>
                <w:highlight w:val="none"/>
              </w:rPr>
              <w:t>。</w:t>
            </w:r>
          </w:p>
          <w:p>
            <w:pPr>
              <w:numPr>
                <w:ilvl w:val="255"/>
                <w:numId w:val="0"/>
              </w:numPr>
              <w:spacing w:line="300" w:lineRule="auto"/>
              <w:rPr>
                <w:highlight w:val="none"/>
              </w:rPr>
            </w:pPr>
            <w:r>
              <w:rPr>
                <w:rFonts w:hint="eastAsia" w:ascii="宋体" w:hAnsi="宋体" w:eastAsia="宋体" w:cs="宋体"/>
                <w:b/>
                <w:bCs/>
                <w:sz w:val="24"/>
                <w:highlight w:val="none"/>
              </w:rPr>
              <w:t>管理人有权临时暂停申购、赎回。</w:t>
            </w:r>
          </w:p>
          <w:p>
            <w:pPr>
              <w:numPr>
                <w:ilvl w:val="255"/>
                <w:numId w:val="0"/>
              </w:numPr>
              <w:spacing w:line="300" w:lineRule="auto"/>
              <w:rPr>
                <w:rFonts w:hint="eastAsia" w:ascii="宋体" w:hAnsi="宋体" w:cs="宋体"/>
                <w:sz w:val="24"/>
                <w:highlight w:val="none"/>
              </w:rPr>
            </w:pPr>
            <w:r>
              <w:rPr>
                <w:rFonts w:hint="eastAsia" w:ascii="宋体" w:hAnsi="宋体" w:cs="宋体"/>
                <w:b/>
                <w:sz w:val="24"/>
                <w:highlight w:val="none"/>
              </w:rPr>
              <w:t>销售服务机构实际受理时间可能与产品说明书不一致，具体以销售服务机构通知为准。</w:t>
            </w:r>
            <w:r>
              <w:rPr>
                <w:rFonts w:hint="eastAsia" w:ascii="宋体" w:hAnsi="宋体" w:cs="宋体"/>
                <w:sz w:val="24"/>
                <w:highlight w:val="none"/>
              </w:rPr>
              <w:t>详细内容见本《理财产品说明书》之“五、交易规则”。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巨额赎回</w:t>
            </w:r>
          </w:p>
        </w:tc>
        <w:tc>
          <w:tcPr>
            <w:tcW w:w="6096" w:type="dxa"/>
            <w:vAlign w:val="center"/>
          </w:tcPr>
          <w:p>
            <w:pPr>
              <w:spacing w:line="300" w:lineRule="auto"/>
              <w:rPr>
                <w:rFonts w:hint="eastAsia" w:ascii="宋体" w:hAnsi="宋体" w:eastAsia="宋体" w:cs="宋体"/>
                <w:b/>
                <w:bCs/>
                <w:sz w:val="24"/>
                <w:szCs w:val="24"/>
                <w:highlight w:val="none"/>
              </w:rPr>
            </w:pPr>
            <w:r>
              <w:rPr>
                <w:rFonts w:ascii="宋体" w:hAnsi="宋体" w:eastAsia="宋体" w:cs="宋体"/>
                <w:b/>
                <w:bCs/>
                <w:sz w:val="24"/>
                <w:szCs w:val="24"/>
                <w:highlight w:val="none"/>
              </w:rPr>
              <w:t>投资者可</w:t>
            </w:r>
            <w:r>
              <w:rPr>
                <w:rFonts w:hint="eastAsia" w:ascii="宋体" w:hAnsi="宋体" w:eastAsia="宋体" w:cs="宋体"/>
                <w:b/>
                <w:bCs/>
                <w:sz w:val="24"/>
                <w:szCs w:val="24"/>
                <w:highlight w:val="none"/>
              </w:rPr>
              <w:t>在满足最短持有期后</w:t>
            </w:r>
            <w:r>
              <w:rPr>
                <w:rFonts w:ascii="宋体" w:hAnsi="宋体" w:eastAsia="宋体" w:cs="宋体"/>
                <w:b/>
                <w:bCs/>
                <w:sz w:val="24"/>
                <w:szCs w:val="24"/>
                <w:highlight w:val="none"/>
              </w:rPr>
              <w:t>于</w:t>
            </w:r>
            <w:r>
              <w:rPr>
                <w:rFonts w:hint="eastAsia" w:ascii="宋体" w:hAnsi="宋体" w:eastAsia="宋体" w:cs="宋体"/>
                <w:b/>
                <w:bCs/>
                <w:sz w:val="24"/>
                <w:szCs w:val="24"/>
                <w:highlight w:val="none"/>
              </w:rPr>
              <w:t>开放日</w:t>
            </w:r>
            <w:r>
              <w:rPr>
                <w:rFonts w:ascii="宋体" w:hAnsi="宋体" w:eastAsia="宋体" w:cs="宋体"/>
                <w:b/>
                <w:bCs/>
                <w:sz w:val="24"/>
                <w:szCs w:val="24"/>
                <w:highlight w:val="none"/>
              </w:rPr>
              <w:t>向销售服务机构提出赎回申请</w:t>
            </w:r>
            <w:r>
              <w:rPr>
                <w:rFonts w:hint="eastAsia" w:ascii="宋体" w:hAnsi="宋体" w:eastAsia="宋体" w:cs="宋体"/>
                <w:b/>
                <w:bCs/>
                <w:sz w:val="24"/>
                <w:szCs w:val="24"/>
                <w:highlight w:val="none"/>
              </w:rPr>
              <w:t>。</w:t>
            </w:r>
            <w:r>
              <w:rPr>
                <w:rFonts w:ascii="宋体" w:hAnsi="宋体" w:eastAsia="宋体" w:cs="宋体"/>
                <w:b/>
                <w:bCs/>
                <w:sz w:val="24"/>
                <w:szCs w:val="24"/>
                <w:highlight w:val="none"/>
              </w:rPr>
              <w:t>在</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存续期内，若</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单个开放日净赎回申请份额（赎回申请份额总数扣除申购申请份额总数）超过本</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上一交易日日终份额的10%时，即为发生巨额赎回。</w:t>
            </w:r>
          </w:p>
          <w:p>
            <w:pPr>
              <w:spacing w:line="300" w:lineRule="auto"/>
              <w:rPr>
                <w:rFonts w:hint="eastAsia" w:ascii="宋体" w:hAnsi="宋体" w:eastAsia="宋体"/>
                <w:b/>
                <w:bCs/>
                <w:sz w:val="24"/>
                <w:szCs w:val="24"/>
                <w:highlight w:val="none"/>
              </w:rPr>
            </w:pPr>
            <w:r>
              <w:rPr>
                <w:rFonts w:ascii="宋体" w:hAnsi="宋体" w:eastAsia="宋体" w:cs="宋体"/>
                <w:b/>
                <w:bCs/>
                <w:sz w:val="24"/>
                <w:szCs w:val="24"/>
                <w:highlight w:val="none"/>
              </w:rPr>
              <w:t>在发生巨额赎回及连续</w:t>
            </w:r>
            <w:r>
              <w:rPr>
                <w:rFonts w:hint="eastAsia" w:ascii="宋体" w:hAnsi="宋体" w:eastAsia="宋体" w:cs="宋体"/>
                <w:b/>
                <w:bCs/>
                <w:sz w:val="24"/>
                <w:szCs w:val="24"/>
                <w:highlight w:val="none"/>
              </w:rPr>
              <w:t>2个开放日（含）及以上发生</w:t>
            </w:r>
            <w:r>
              <w:rPr>
                <w:rFonts w:ascii="宋体" w:hAnsi="宋体" w:eastAsia="宋体" w:cs="宋体"/>
                <w:b/>
                <w:bCs/>
                <w:sz w:val="24"/>
                <w:szCs w:val="24"/>
                <w:highlight w:val="none"/>
              </w:rPr>
              <w:t>巨额赎回时</w:t>
            </w:r>
            <w:r>
              <w:rPr>
                <w:rFonts w:hint="eastAsia" w:ascii="宋体" w:hAnsi="宋体" w:eastAsia="宋体" w:cs="宋体"/>
                <w:b/>
                <w:bCs/>
                <w:sz w:val="24"/>
                <w:szCs w:val="24"/>
                <w:highlight w:val="none"/>
              </w:rPr>
              <w:t>，产品</w:t>
            </w:r>
            <w:r>
              <w:rPr>
                <w:rFonts w:ascii="宋体" w:hAnsi="宋体" w:eastAsia="宋体" w:cs="宋体"/>
                <w:b/>
                <w:bCs/>
                <w:sz w:val="24"/>
                <w:szCs w:val="24"/>
                <w:highlight w:val="none"/>
              </w:rPr>
              <w:t>管理人有权依照</w:t>
            </w:r>
            <w:r>
              <w:rPr>
                <w:rFonts w:hint="eastAsia" w:ascii="宋体" w:hAnsi="宋体" w:eastAsia="宋体" w:cs="宋体"/>
                <w:b/>
                <w:bCs/>
                <w:sz w:val="24"/>
                <w:szCs w:val="24"/>
                <w:highlight w:val="none"/>
              </w:rPr>
              <w:t>理财产品</w:t>
            </w:r>
            <w:r>
              <w:rPr>
                <w:rFonts w:ascii="宋体" w:hAnsi="宋体" w:eastAsia="宋体" w:cs="宋体"/>
                <w:b/>
                <w:bCs/>
                <w:sz w:val="24"/>
                <w:szCs w:val="24"/>
                <w:highlight w:val="none"/>
              </w:rPr>
              <w:t>当时的资产组合状况选择全额赎回、部分赎回或延缓支付赎回款项。详细内容见本《产品说明书》之“</w:t>
            </w:r>
            <w:r>
              <w:rPr>
                <w:rFonts w:hint="eastAsia" w:ascii="宋体" w:hAnsi="宋体" w:cs="宋体"/>
                <w:b/>
                <w:bCs/>
                <w:sz w:val="24"/>
                <w:highlight w:val="none"/>
              </w:rPr>
              <w:t>五、交易规则</w:t>
            </w:r>
            <w:r>
              <w:rPr>
                <w:rFonts w:ascii="宋体" w:hAnsi="宋体" w:eastAsia="宋体" w:cs="宋体"/>
                <w:b/>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96"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★【A类份额】：年化【1.60%-3.00%】</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以理财产品投资固定收益类资产不低于80%，同时根据当前市场环境下大类资产合意配置比例及大类资产收益情况，考虑杠杆和费率等因素，并结合产品投资策略，按照投资者持有份额满14天及以上的情况进行测算。</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w:t>
            </w:r>
            <w:r>
              <w:rPr>
                <w:rFonts w:hint="eastAsia" w:ascii="宋体" w:hAnsi="宋体" w:eastAsia="宋体"/>
                <w:b/>
                <w:bCs/>
                <w:sz w:val="24"/>
                <w:szCs w:val="24"/>
                <w:highlight w:val="none"/>
              </w:rPr>
              <w:t>不收取</w:t>
            </w:r>
            <w:r>
              <w:rPr>
                <w:rFonts w:hint="eastAsia" w:ascii="宋体" w:hAnsi="宋体" w:eastAsia="宋体"/>
                <w:sz w:val="24"/>
                <w:szCs w:val="24"/>
                <w:highlight w:val="none"/>
              </w:rPr>
              <w:t>超额业绩报酬】。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理财产品费用</w:t>
            </w:r>
          </w:p>
        </w:tc>
        <w:tc>
          <w:tcPr>
            <w:tcW w:w="6096" w:type="dxa"/>
            <w:vAlign w:val="center"/>
          </w:tcPr>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1.认购费：本理财产品不收取认购费；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2.申购费:本理财产品不收取申购费；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3.赎回费：本理财产品不收取赎回费；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4</w:t>
            </w:r>
            <w:r>
              <w:rPr>
                <w:rFonts w:hint="eastAsia" w:ascii="宋体" w:hAnsi="宋体" w:eastAsia="宋体"/>
                <w:sz w:val="24"/>
                <w:szCs w:val="24"/>
                <w:highlight w:val="none"/>
              </w:rPr>
              <w:t>.销售服务费：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A类份额】：【0.6</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】%/年；</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管理人有权根据不同销售服务机构</w:t>
            </w:r>
            <w:r>
              <w:rPr>
                <w:rFonts w:ascii="宋体" w:hAnsi="宋体" w:eastAsia="宋体"/>
                <w:sz w:val="24"/>
                <w:szCs w:val="24"/>
                <w:highlight w:val="none"/>
              </w:rPr>
              <w:t>/</w:t>
            </w:r>
            <w:r>
              <w:rPr>
                <w:rFonts w:hint="eastAsia" w:ascii="宋体" w:hAnsi="宋体" w:eastAsia="宋体"/>
                <w:sz w:val="24"/>
                <w:szCs w:val="24"/>
                <w:highlight w:val="none"/>
              </w:rPr>
              <w:t>销售渠道</w:t>
            </w:r>
            <w:r>
              <w:rPr>
                <w:rFonts w:ascii="宋体" w:hAnsi="宋体" w:eastAsia="宋体"/>
                <w:sz w:val="24"/>
                <w:szCs w:val="24"/>
                <w:highlight w:val="none"/>
              </w:rPr>
              <w:t>/</w:t>
            </w:r>
            <w:r>
              <w:rPr>
                <w:rFonts w:hint="eastAsia" w:ascii="宋体" w:hAnsi="宋体" w:eastAsia="宋体"/>
                <w:sz w:val="24"/>
                <w:szCs w:val="24"/>
                <w:highlight w:val="none"/>
              </w:rPr>
              <w:t>份额类别设置不同的销售服务费率。</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.固定</w:t>
            </w:r>
            <w:r>
              <w:rPr>
                <w:rFonts w:ascii="宋体" w:hAnsi="宋体" w:eastAsia="宋体"/>
                <w:sz w:val="24"/>
                <w:szCs w:val="24"/>
                <w:highlight w:val="none"/>
              </w:rPr>
              <w:t>管理费：</w:t>
            </w:r>
            <w:r>
              <w:rPr>
                <w:rFonts w:hint="eastAsia" w:ascii="宋体" w:hAnsi="宋体" w:eastAsia="宋体"/>
                <w:sz w:val="24"/>
                <w:szCs w:val="24"/>
                <w:highlight w:val="none"/>
              </w:rPr>
              <w:t>【0.6</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】%/年；</w:t>
            </w:r>
          </w:p>
          <w:p>
            <w:pPr>
              <w:widowControl/>
              <w:numPr>
                <w:ilvl w:val="255"/>
                <w:numId w:val="0"/>
              </w:num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lang w:val="en-US" w:eastAsia="zh-CN"/>
              </w:rPr>
              <w:t>6</w:t>
            </w:r>
            <w:r>
              <w:rPr>
                <w:rFonts w:hint="eastAsia" w:ascii="宋体" w:hAnsi="宋体" w:eastAsia="宋体"/>
                <w:sz w:val="24"/>
                <w:szCs w:val="24"/>
                <w:highlight w:val="none"/>
              </w:rPr>
              <w:t>.托管费：【0.02】%/年；</w:t>
            </w:r>
          </w:p>
          <w:p>
            <w:pPr>
              <w:numPr>
                <w:ilvl w:val="255"/>
                <w:numId w:val="0"/>
              </w:numPr>
              <w:spacing w:line="300" w:lineRule="auto"/>
              <w:outlineLvl w:val="0"/>
              <w:rPr>
                <w:rFonts w:hint="eastAsia" w:ascii="宋体" w:hAnsi="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.超额业绩报酬:本理财产品【不】收取超额业绩报酬</w:t>
            </w:r>
            <w:r>
              <w:rPr>
                <w:rFonts w:hint="eastAsia"/>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其他（如有）：除理财产品所承担的固定管理费、托管费、销售服务费、超额业绩报酬（如有）、增值税及附加税费等费用，以及其它应由理财产品资产承担的产品费用之外，还包括但不限于产品开户费用、账户维护费用、银</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rPr>
              <w:t>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w:t>
            </w:r>
            <w:r>
              <w:rPr>
                <w:rFonts w:hint="eastAsia" w:ascii="宋体" w:hAnsi="宋体" w:eastAsia="宋体"/>
                <w:sz w:val="24"/>
                <w:szCs w:val="24"/>
                <w:highlight w:val="none"/>
              </w:rPr>
              <w:t>全部赎回确认到账后或</w:t>
            </w:r>
            <w:r>
              <w:rPr>
                <w:rFonts w:ascii="宋体" w:hAnsi="宋体" w:eastAsia="宋体"/>
                <w:sz w:val="24"/>
                <w:szCs w:val="24"/>
                <w:highlight w:val="none"/>
              </w:rPr>
              <w:t>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w:t>
            </w:r>
            <w:r>
              <w:rPr>
                <w:rFonts w:hint="eastAsia" w:ascii="宋体" w:hAnsi="宋体" w:eastAsia="宋体"/>
                <w:sz w:val="24"/>
                <w:szCs w:val="24"/>
                <w:highlight w:val="none"/>
              </w:rPr>
              <w:t>认/申购份额确认日</w:t>
            </w:r>
            <w:r>
              <w:rPr>
                <w:rFonts w:ascii="宋体" w:hAnsi="宋体" w:eastAsia="宋体"/>
                <w:sz w:val="24"/>
                <w:szCs w:val="24"/>
                <w:highlight w:val="none"/>
              </w:rPr>
              <w:t>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6.发生暂停认购/申购，本理财产品宣布不成立等情形时，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如果因发生前述情形导致投资者的认购/申购申请被拒绝，被拒绝的认购/申购款项将退还给投资者，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在暂停认购/申购的情况消除时，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管理人将及时恢复认购/申购业务的办理。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一般性存款、结构性存款、同业存单、其他货币市场工具、银行间市场和证券交易所发行的债券、货币市场基金、债券基金、债券质押式及买断式回购、资产支持证券、可转换债券、可交换债券，以上述资产为主要投资范围的公募基金、信托计划、资产管理计划等资产管理产品，及其他符合监管要求的债权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2.权益类、混合类资产管理产品（包括但不限于公募基金、信托计划、资产管理计划等），优先股，及其他符合监管要求的权益类或混合类资产；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利率互换、收益互换、股指期货、国债期货、商品期货、期权等商品及金融衍生品类资产，以及包含上述投资范围的资产管理产品（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4.投资于境外金融资产和金融工具的QDII资产管理产品。</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lang w:bidi="ar"/>
              </w:rPr>
              <w:t>【债权类资产</w:t>
            </w:r>
            <w:r>
              <w:rPr>
                <w:rFonts w:hint="eastAsia"/>
                <w:highlight w:val="none"/>
              </w:rPr>
              <w:t>】</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【80%-100%】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rPr>
              <w:t>【0%-20%】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highlight w:val="none"/>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r>
              <w:rPr>
                <w:rFonts w:hint="eastAsia" w:ascii="宋体" w:hAnsi="宋体" w:eastAsia="宋体"/>
                <w:sz w:val="24"/>
                <w:szCs w:val="24"/>
                <w:highlight w:val="none"/>
              </w:rPr>
              <w:t>】</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【0%-20%】</w:t>
            </w:r>
          </w:p>
        </w:tc>
      </w:tr>
    </w:tbl>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产品成立日至【2025】年【3】月【11】日，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投资策略</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本理财产品将主要投资稳定保持中短久期的债券资产组合，并通过调整资产组合的期限搭配、品种结构、场所摆布等对组合进行动态优化，同时重点发挥公司投研体系及风控能力优势，加强市场研判，优选信用债投资机会，并择机配置权益类资产，在控制信用风险及收益波动幅度的前提下，力争为投资者提供较为稳健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1.本理财产品的杠杆水平不超过140%。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2.持续保持投资于现金或到期日在一年以内的国债、中央银行票据和政策性金融债券的比例不低于5%。</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3.本理财产品投资于单只证券、单只公募证券投资基金的市值不超过本产品净资产的10%。本理财产品投资于国债、地方政府债券、中央银行票据、政府机构债券、政策性金融债券的除外。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4.本理财产品直接投资于流动性受限资产的市值在开放日不得超过该产品</w:t>
      </w:r>
      <w:r>
        <w:rPr>
          <w:rFonts w:hint="eastAsia" w:ascii="宋体" w:hAnsi="宋体" w:eastAsia="宋体"/>
          <w:sz w:val="24"/>
          <w:szCs w:val="24"/>
          <w:highlight w:val="none"/>
        </w:rPr>
        <w:t>资产净值的</w:t>
      </w:r>
      <w:r>
        <w:rPr>
          <w:rFonts w:ascii="宋体" w:hAnsi="宋体" w:eastAsia="宋体"/>
          <w:sz w:val="24"/>
          <w:szCs w:val="24"/>
          <w:highlight w:val="none"/>
        </w:rPr>
        <w:t>15%。因证券市场波动、上市公司股票停牌、理财产品规模变动等因素导致本理财产品不符合本条</w:t>
      </w:r>
      <w:r>
        <w:rPr>
          <w:rFonts w:hint="eastAsia" w:ascii="宋体" w:hAnsi="宋体" w:eastAsia="宋体"/>
          <w:sz w:val="24"/>
          <w:szCs w:val="24"/>
          <w:highlight w:val="none"/>
        </w:rPr>
        <w:t>约</w:t>
      </w:r>
      <w:r>
        <w:rPr>
          <w:rFonts w:ascii="宋体" w:hAnsi="宋体" w:eastAsia="宋体"/>
          <w:sz w:val="24"/>
          <w:szCs w:val="24"/>
          <w:highlight w:val="none"/>
        </w:rPr>
        <w:t>定比例限制的，本理财产品不得主动新增投资流动性受限资产。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5.本理财产品计划投资不存在活跃交易市场，并且需要采用估值技术确定公允价值的资产不得达到净资产50%。非因管理人主观因素导致突破前款规定比例限制的，本理财产品不得新增投资上述资产。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6.本理财产品在开放日前一工作日内，持有的7个工作日可变现资产的可变现价值不低于该产品资产净值的10%。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7.本管理人发行的全部公募理财产品</w:t>
      </w:r>
      <w:r>
        <w:rPr>
          <w:rFonts w:hint="eastAsia" w:ascii="宋体" w:hAnsi="宋体" w:eastAsia="宋体"/>
          <w:sz w:val="24"/>
          <w:szCs w:val="24"/>
          <w:highlight w:val="none"/>
        </w:rPr>
        <w:t>持有</w:t>
      </w:r>
      <w:r>
        <w:rPr>
          <w:rFonts w:ascii="宋体" w:hAnsi="宋体" w:eastAsia="宋体"/>
          <w:sz w:val="24"/>
          <w:szCs w:val="24"/>
          <w:highlight w:val="none"/>
        </w:rPr>
        <w:t>单只</w:t>
      </w:r>
      <w:r>
        <w:rPr>
          <w:rFonts w:hint="eastAsia" w:ascii="宋体" w:hAnsi="宋体" w:eastAsia="宋体"/>
          <w:sz w:val="24"/>
          <w:szCs w:val="24"/>
          <w:highlight w:val="none"/>
        </w:rPr>
        <w:t>证</w:t>
      </w:r>
      <w:r>
        <w:rPr>
          <w:rFonts w:ascii="宋体" w:hAnsi="宋体" w:eastAsia="宋体"/>
          <w:sz w:val="24"/>
          <w:szCs w:val="24"/>
          <w:highlight w:val="none"/>
        </w:rPr>
        <w:t>券或单只公募证券投资基金的市值，不得超过该证券市值或该公募证券投资基金市值的30%。国债、</w:t>
      </w:r>
      <w:r>
        <w:rPr>
          <w:rFonts w:hint="eastAsia" w:ascii="宋体" w:hAnsi="宋体" w:eastAsia="宋体"/>
          <w:sz w:val="24"/>
          <w:szCs w:val="24"/>
          <w:highlight w:val="none"/>
        </w:rPr>
        <w:t>地方政府债券、</w:t>
      </w:r>
      <w:r>
        <w:rPr>
          <w:rFonts w:ascii="宋体" w:hAnsi="宋体" w:eastAsia="宋体"/>
          <w:sz w:val="24"/>
          <w:szCs w:val="24"/>
          <w:highlight w:val="none"/>
        </w:rPr>
        <w:t>中央银行票据、</w:t>
      </w:r>
      <w:r>
        <w:rPr>
          <w:rFonts w:hint="eastAsia" w:ascii="宋体" w:hAnsi="宋体" w:eastAsia="宋体"/>
          <w:sz w:val="24"/>
          <w:szCs w:val="24"/>
          <w:highlight w:val="none"/>
        </w:rPr>
        <w:t>政府机构债券、</w:t>
      </w:r>
      <w:r>
        <w:rPr>
          <w:rFonts w:ascii="宋体" w:hAnsi="宋体" w:eastAsia="宋体"/>
          <w:sz w:val="24"/>
          <w:szCs w:val="24"/>
          <w:highlight w:val="none"/>
        </w:rPr>
        <w:t>政策性金融债券</w:t>
      </w:r>
      <w:r>
        <w:rPr>
          <w:rFonts w:hint="eastAsia" w:ascii="宋体" w:hAnsi="宋体" w:eastAsia="宋体"/>
          <w:sz w:val="24"/>
          <w:szCs w:val="24"/>
          <w:highlight w:val="none"/>
        </w:rPr>
        <w:t>以及完全按照有关指数的构成比例进行投资的</w:t>
      </w:r>
      <w:r>
        <w:rPr>
          <w:rFonts w:ascii="宋体" w:hAnsi="宋体" w:eastAsia="宋体"/>
          <w:sz w:val="24"/>
          <w:szCs w:val="24"/>
          <w:highlight w:val="none"/>
        </w:rPr>
        <w:t>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非因管理人主观因素致使不符合前述第</w:t>
      </w:r>
      <w:r>
        <w:rPr>
          <w:rFonts w:ascii="宋体" w:hAnsi="宋体" w:eastAsia="宋体"/>
          <w:sz w:val="24"/>
          <w:szCs w:val="24"/>
          <w:highlight w:val="none"/>
        </w:rPr>
        <w:t>3条、第7条比例限制的，管理人将在流动性受限资产可出售、可转让或者恢复交易的10个交易日内调整至符合相关要求，国务院银行业监督管理机构规定的特殊情形除外。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认/申购上限、单笔</w:t>
      </w:r>
      <w:r>
        <w:rPr>
          <w:rFonts w:ascii="宋体" w:hAnsi="宋体" w:eastAsia="宋体"/>
          <w:sz w:val="24"/>
          <w:szCs w:val="24"/>
          <w:highlight w:val="none"/>
        </w:rPr>
        <w:t>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将分别计算及公告，投资者可根据实际情况自行选择认/申购的产品份额类别。如有调整，以管理人公告为准。</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期：【2025】年【2】月【7】日【09:00】至【2025】年【2】月【10】日【15:30】</w:t>
      </w:r>
      <w:r>
        <w:rPr>
          <w:rFonts w:hint="eastAsia" w:ascii="宋体" w:hAnsi="宋体" w:eastAsia="宋体"/>
          <w:sz w:val="24"/>
          <w:szCs w:val="24"/>
          <w:highlight w:val="none"/>
        </w:rPr>
        <w:t>，</w:t>
      </w:r>
      <w:r>
        <w:rPr>
          <w:rFonts w:hint="eastAsia" w:ascii="宋体" w:hAnsi="宋体" w:eastAsia="宋体"/>
          <w:b/>
          <w:bCs/>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购起点金额为【1】</w:t>
      </w:r>
      <w:r>
        <w:rPr>
          <w:rFonts w:ascii="宋体" w:hAnsi="宋体" w:eastAsia="宋体"/>
          <w:sz w:val="24"/>
          <w:szCs w:val="24"/>
          <w:highlight w:val="none"/>
        </w:rPr>
        <w:t>元；超出部分，需以</w:t>
      </w:r>
      <w:r>
        <w:rPr>
          <w:rFonts w:hint="eastAsia" w:ascii="宋体" w:hAnsi="宋体" w:eastAsia="宋体"/>
          <w:sz w:val="24"/>
          <w:szCs w:val="24"/>
          <w:highlight w:val="none"/>
        </w:rPr>
        <w:t>【1】</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★A类份额：在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lang w:eastAsia="zh-CN"/>
        </w:rPr>
        <w:t>【2亿】元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★A类份额：</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eastAsia="zh-CN"/>
        </w:rPr>
        <w:t>【2亿】元</w:t>
      </w:r>
      <w:r>
        <w:rPr>
          <w:rFonts w:hint="eastAsia" w:ascii="宋体" w:hAnsi="宋体" w:eastAsia="宋体"/>
          <w:sz w:val="24"/>
          <w:szCs w:val="24"/>
          <w:highlight w:val="none"/>
        </w:rPr>
        <w:t>。</w:t>
      </w:r>
    </w:p>
    <w:p>
      <w:pPr>
        <w:spacing w:line="300" w:lineRule="auto"/>
        <w:ind w:firstLine="482" w:firstLineChars="200"/>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（三）申购、赎回规则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1.开放日：</w:t>
      </w:r>
      <w:r>
        <w:rPr>
          <w:rFonts w:hint="eastAsia" w:ascii="宋体" w:hAnsi="宋体" w:eastAsia="宋体"/>
          <w:sz w:val="24"/>
          <w:szCs w:val="24"/>
          <w:highlight w:val="none"/>
        </w:rPr>
        <w:t>【本理财产品成立后至产品到期日前的每个交易日为产品开放日。</w:t>
      </w:r>
      <w:r>
        <w:rPr>
          <w:rFonts w:ascii="宋体" w:hAnsi="宋体" w:eastAsia="宋体"/>
          <w:sz w:val="24"/>
          <w:szCs w:val="24"/>
          <w:highlight w:val="none"/>
        </w:rPr>
        <w:t>开放日</w:t>
      </w:r>
      <w:r>
        <w:rPr>
          <w:rFonts w:hint="eastAsia" w:ascii="宋体" w:hAnsi="宋体" w:eastAsia="宋体"/>
          <w:sz w:val="24"/>
          <w:szCs w:val="24"/>
          <w:highlight w:val="none"/>
        </w:rPr>
        <w:t>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赎回。临时暂停申购、赎回的情形除外</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ind w:firstLine="480" w:firstLineChars="200"/>
        <w:jc w:val="left"/>
        <w:rPr>
          <w:rFonts w:ascii="宋体" w:hAnsi="宋体" w:eastAsia="宋体" w:cs="宋体"/>
          <w:sz w:val="24"/>
          <w:szCs w:val="24"/>
          <w:highlight w:val="none"/>
        </w:rPr>
      </w:pPr>
      <w:r>
        <w:rPr>
          <w:rFonts w:hint="eastAsia" w:ascii="宋体" w:hAnsi="宋体" w:cs="宋体"/>
          <w:sz w:val="24"/>
          <w:highlight w:val="none"/>
        </w:rPr>
        <w:t>2.</w:t>
      </w:r>
      <w:r>
        <w:rPr>
          <w:rFonts w:ascii="宋体" w:hAnsi="宋体" w:eastAsia="宋体" w:cs="宋体"/>
          <w:sz w:val="24"/>
          <w:szCs w:val="24"/>
          <w:highlight w:val="none"/>
        </w:rPr>
        <w:t>最短持有期和最短持有期结束日：本产品最短持有期为【14】个自然日。</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cs="宋体"/>
          <w:sz w:val="24"/>
          <w:szCs w:val="24"/>
          <w:highlight w:val="none"/>
        </w:rPr>
        <w:t>投资者每笔认/申购份额自产品成立日（对认购份额而言）或申购申请对应的确认日T日起，最短需持有14个自然日，最短持有期结束日为第T+13个自然日，若第T+13个自然日为非开放日则顺延至下一开放日。投资者可在认/申购的份额确认后于最短持有期结束日（含）及后续每个开放日申请赎回。 由于最短持有期结束日遇非开放日顺延至下一开放日等原因，投资者最短持有期实际上可能长于</w:t>
      </w:r>
      <w:r>
        <w:rPr>
          <w:rFonts w:hint="eastAsia" w:ascii="宋体" w:hAnsi="宋体" w:eastAsia="宋体" w:cs="宋体"/>
          <w:sz w:val="24"/>
          <w:szCs w:val="24"/>
          <w:highlight w:val="none"/>
          <w:lang w:val="en-US" w:eastAsia="zh-CN"/>
        </w:rPr>
        <w:t>14</w:t>
      </w:r>
      <w:r>
        <w:rPr>
          <w:rFonts w:ascii="宋体" w:hAnsi="宋体" w:eastAsia="宋体" w:cs="宋体"/>
          <w:sz w:val="24"/>
          <w:szCs w:val="24"/>
          <w:highlight w:val="none"/>
        </w:rPr>
        <w:t>个自然日。以上规则如有调整，以</w:t>
      </w:r>
      <w:r>
        <w:rPr>
          <w:rFonts w:hint="eastAsia" w:ascii="宋体" w:hAnsi="宋体" w:eastAsia="宋体" w:cs="宋体"/>
          <w:sz w:val="24"/>
          <w:szCs w:val="24"/>
          <w:highlight w:val="none"/>
        </w:rPr>
        <w:t>渤银</w:t>
      </w:r>
      <w:r>
        <w:rPr>
          <w:rFonts w:ascii="宋体" w:hAnsi="宋体" w:eastAsia="宋体" w:cs="宋体"/>
          <w:sz w:val="24"/>
          <w:szCs w:val="24"/>
          <w:highlight w:val="none"/>
        </w:rPr>
        <w:t>理财公告为准。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3.申购、赎回申请与确认：</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申购。投资者在开放日【09：00-15：30（不含）】提交的申购申请，视为该开放日的申购申请，管理人以该开放日份额净值进行确认，确认日为该申请对应开放日后的第【1】个交易日；本开放日【15:30】至下一开放日【09:00】（不含）提交的申购申请，视为下一开放日的申购申请，管理人以下一开放日的份额净值进行确认，确认日为下一开放日后的第【1】个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赎回。投资者在开放日【09：00-15：30（不含）】提交的赎回申请，视为该开放日的赎回申请，管理人以该开放日份额净值进行确认，确认日为该申请对应开放日后的第【1】个交易日；本开放日【15:30】至下一开放日【09:00】（不含）提交的赎回申请，视为下一开放日的赎回申请，管理人以下一开放日的份额净值进行确认，确认日为下一开放日后的第【1】个交易日。</w:t>
      </w:r>
      <w:r>
        <w:rPr>
          <w:rFonts w:ascii="宋体" w:hAnsi="宋体" w:eastAsia="宋体" w:cs="宋体"/>
          <w:b/>
          <w:bCs/>
          <w:sz w:val="24"/>
          <w:szCs w:val="24"/>
          <w:highlight w:val="none"/>
        </w:rPr>
        <w:t>投资者提交赎回申请需满足最短持有期的要求</w:t>
      </w:r>
      <w:r>
        <w:rPr>
          <w:rFonts w:hint="eastAsia" w:ascii="宋体" w:hAnsi="宋体" w:eastAsia="宋体"/>
          <w:sz w:val="24"/>
          <w:szCs w:val="24"/>
          <w:highlight w:val="none"/>
        </w:rPr>
        <w:t>。</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4</w:t>
      </w:r>
      <w:r>
        <w:rPr>
          <w:rFonts w:hint="eastAsia" w:ascii="宋体" w:hAnsi="宋体" w:cs="宋体"/>
          <w:sz w:val="24"/>
          <w:highlight w:val="none"/>
        </w:rPr>
        <w:t>.撤单：投资者提交的申购、赎回申请，在确认成功之前可以撤销，具体以销售服务机构说明或公布的操作方式为准。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5</w:t>
      </w:r>
      <w:r>
        <w:rPr>
          <w:rFonts w:hint="eastAsia" w:ascii="宋体" w:hAnsi="宋体" w:cs="宋体"/>
          <w:sz w:val="24"/>
          <w:highlight w:val="none"/>
        </w:rPr>
        <w:t>.申购、赎回费用：本理财产品不收取申购费、赎回费。</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6</w:t>
      </w:r>
      <w:r>
        <w:rPr>
          <w:rFonts w:hint="eastAsia" w:ascii="宋体" w:hAnsi="宋体" w:cs="宋体"/>
          <w:sz w:val="24"/>
          <w:highlight w:val="none"/>
        </w:rPr>
        <w:t>.申购金额：</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cs="宋体"/>
          <w:sz w:val="24"/>
          <w:highlight w:val="none"/>
        </w:rPr>
        <w:t>在开放期内，首次申购起点金额为【1】元；超出部分，需以【1】元整数倍递增。追加申购起点金额为【1】元；超出部分，需以【1】元整数倍递增。</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管理人有权以公告形式调整上述规则。</w:t>
      </w:r>
    </w:p>
    <w:p>
      <w:pPr>
        <w:numPr>
          <w:ilvl w:val="-1"/>
          <w:numId w:val="0"/>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7.</w:t>
      </w:r>
      <w:r>
        <w:rPr>
          <w:rFonts w:hint="eastAsia" w:ascii="宋体" w:hAnsi="宋体" w:cs="宋体"/>
          <w:sz w:val="24"/>
          <w:highlight w:val="none"/>
        </w:rPr>
        <w:t>单笔申购上限：</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★【A类份额】：</w:t>
      </w:r>
      <w:r>
        <w:rPr>
          <w:rFonts w:hint="eastAsia" w:ascii="宋体" w:hAnsi="宋体" w:cs="宋体"/>
          <w:sz w:val="24"/>
          <w:highlight w:val="none"/>
        </w:rPr>
        <w:t>开放期内，</w:t>
      </w:r>
      <w:r>
        <w:rPr>
          <w:rFonts w:hint="eastAsia" w:ascii="宋体" w:hAnsi="宋体" w:eastAsia="宋体"/>
          <w:sz w:val="24"/>
          <w:szCs w:val="24"/>
          <w:highlight w:val="none"/>
        </w:rPr>
        <w:t>个人</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lang w:eastAsia="zh-CN"/>
        </w:rPr>
        <w:t>【2亿】元</w:t>
      </w:r>
      <w:r>
        <w:rPr>
          <w:rFonts w:hint="eastAsia" w:ascii="宋体" w:hAnsi="宋体" w:cs="宋体"/>
          <w:sz w:val="24"/>
          <w:highlight w:val="none"/>
        </w:rPr>
        <w:t>。</w:t>
      </w:r>
    </w:p>
    <w:p>
      <w:pPr>
        <w:spacing w:line="300" w:lineRule="auto"/>
        <w:ind w:firstLine="480" w:firstLineChars="200"/>
        <w:rPr>
          <w:rFonts w:hint="eastAsia" w:ascii="宋体" w:hAnsi="宋体" w:eastAsia="宋体" w:cs="宋体"/>
          <w:sz w:val="24"/>
          <w:szCs w:val="24"/>
          <w:highlight w:val="none"/>
        </w:rPr>
      </w:pPr>
      <w:r>
        <w:rPr>
          <w:rFonts w:hint="eastAsia" w:ascii="宋体" w:hAnsi="宋体" w:cs="宋体"/>
          <w:sz w:val="24"/>
          <w:highlight w:val="none"/>
        </w:rPr>
        <w:t>管理人有权以公告形式调整单笔申购上限。如发生超额申请，管理人有权根据实际情况决定拒绝或受理。在开放期内，投资者可多次申购</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单笔赎回上限：</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★【A类份额】：</w:t>
      </w:r>
      <w:r>
        <w:rPr>
          <w:rFonts w:hint="eastAsia" w:ascii="宋体" w:hAnsi="宋体" w:eastAsia="宋体"/>
          <w:sz w:val="24"/>
          <w:szCs w:val="24"/>
          <w:highlight w:val="none"/>
        </w:rPr>
        <w:t>开放期内，</w:t>
      </w:r>
      <w:r>
        <w:rPr>
          <w:rFonts w:ascii="宋体" w:hAnsi="宋体" w:eastAsia="宋体"/>
          <w:sz w:val="24"/>
          <w:szCs w:val="24"/>
          <w:highlight w:val="none"/>
        </w:rPr>
        <w:t>个人投资者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eastAsia="zh-CN"/>
        </w:rPr>
        <w:t>【2亿】份</w:t>
      </w:r>
      <w:r>
        <w:rPr>
          <w:rFonts w:hint="eastAsia" w:ascii="宋体" w:hAnsi="宋体" w:eastAsia="宋体"/>
          <w:sz w:val="24"/>
          <w:szCs w:val="24"/>
          <w:highlight w:val="none"/>
        </w:rPr>
        <w:t>。</w:t>
      </w:r>
    </w:p>
    <w:p>
      <w:pPr>
        <w:numPr>
          <w:ilvl w:val="255"/>
          <w:numId w:val="0"/>
        </w:numPr>
        <w:spacing w:line="300" w:lineRule="auto"/>
        <w:ind w:firstLine="480" w:firstLineChars="200"/>
        <w:rPr>
          <w:rFonts w:hint="eastAsia" w:ascii="宋体" w:hAnsi="宋体" w:cs="宋体"/>
          <w:sz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r>
        <w:rPr>
          <w:rFonts w:hint="eastAsia" w:ascii="宋体" w:hAnsi="宋体" w:cs="宋体"/>
          <w:sz w:val="24"/>
          <w:highlight w:val="none"/>
        </w:rPr>
        <w:t>在开放期内，投资者可多次赎回</w:t>
      </w:r>
      <w:r>
        <w:rPr>
          <w:rFonts w:hint="eastAsia" w:ascii="宋体" w:hAnsi="宋体" w:eastAsia="宋体" w:cs="宋体"/>
          <w:sz w:val="24"/>
          <w:szCs w:val="24"/>
          <w:highlight w:val="none"/>
        </w:rPr>
        <w:t>。</w:t>
      </w:r>
    </w:p>
    <w:p>
      <w:pPr>
        <w:numPr>
          <w:ilvl w:val="-1"/>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单日累计赎回上限：</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★【A类份额】：</w:t>
      </w:r>
      <w:r>
        <w:rPr>
          <w:rFonts w:hint="eastAsia" w:ascii="宋体" w:hAnsi="宋体" w:eastAsia="宋体"/>
          <w:sz w:val="24"/>
          <w:szCs w:val="24"/>
          <w:highlight w:val="none"/>
        </w:rPr>
        <w:t>开放期内，个人</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eastAsia="zh-CN"/>
        </w:rPr>
        <w:t>2亿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eastAsia="zh-CN"/>
        </w:rPr>
        <w:t>【2亿】份</w:t>
      </w:r>
      <w:r>
        <w:rPr>
          <w:rFonts w:hint="eastAsia" w:ascii="宋体" w:hAnsi="宋体" w:eastAsia="宋体" w:cs="宋体"/>
          <w:sz w:val="24"/>
          <w:szCs w:val="24"/>
          <w:highlight w:val="none"/>
        </w:rPr>
        <w:t>。</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如发生超额申请，管理人有权根据实际情况决定拒绝或受理。管理人有权以公告形式调整单日累计赎回上限。</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lang w:val="en-US" w:eastAsia="zh-CN"/>
        </w:rPr>
        <w:t>10.</w:t>
      </w:r>
      <w:r>
        <w:rPr>
          <w:rFonts w:hint="eastAsia" w:ascii="宋体" w:hAnsi="宋体" w:cs="宋体"/>
          <w:sz w:val="24"/>
          <w:highlight w:val="none"/>
        </w:rPr>
        <w:t>如赎回将导致单个投资者的理财产品份额余额不足0.01份时，管理人有权将投资者剩余份额一次性发起强制赎回。</w:t>
      </w:r>
    </w:p>
    <w:p>
      <w:p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1</w:t>
      </w:r>
      <w:r>
        <w:rPr>
          <w:rFonts w:hint="eastAsia" w:ascii="宋体" w:hAnsi="宋体" w:cs="宋体"/>
          <w:b/>
          <w:bCs/>
          <w:sz w:val="24"/>
          <w:highlight w:val="none"/>
          <w:lang w:val="en-US" w:eastAsia="zh-CN"/>
        </w:rPr>
        <w:t>1.</w:t>
      </w:r>
      <w:r>
        <w:rPr>
          <w:rFonts w:hint="eastAsia" w:ascii="宋体" w:hAnsi="宋体" w:cs="宋体"/>
          <w:b/>
          <w:bCs/>
          <w:sz w:val="24"/>
          <w:highlight w:val="none"/>
        </w:rPr>
        <w:t>对于单个投资者单个开放日申请赎回理财产品份额超过上一交易日日终理财产品总份额的10%的部分，管理人有权暂停接受其赎回申请；若管理人接受该赎回申请，管理人亦有权选择延缓支付赎回款项，但延缓期限不得超过20个工作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2</w:t>
      </w:r>
      <w:r>
        <w:rPr>
          <w:rFonts w:hint="eastAsia" w:ascii="宋体" w:hAnsi="宋体" w:cs="宋体"/>
          <w:sz w:val="24"/>
          <w:highlight w:val="none"/>
        </w:rPr>
        <w:t>.当接受赎回申请将损害现有投资者利益的情形时，管理人有权设置赎回上限，具体请参见相关公告。</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w:t>
      </w:r>
      <w:r>
        <w:rPr>
          <w:rFonts w:hint="eastAsia" w:ascii="宋体" w:hAnsi="宋体" w:cs="宋体"/>
          <w:sz w:val="24"/>
          <w:highlight w:val="none"/>
          <w:lang w:val="en-US" w:eastAsia="zh-CN"/>
        </w:rPr>
        <w:t>3</w:t>
      </w:r>
      <w:r>
        <w:rPr>
          <w:rFonts w:hint="eastAsia" w:ascii="宋体" w:hAnsi="宋体" w:cs="宋体"/>
          <w:sz w:val="24"/>
          <w:highlight w:val="none"/>
        </w:rPr>
        <w:t>.</w:t>
      </w:r>
      <w:r>
        <w:rPr>
          <w:rFonts w:ascii="宋体" w:hAnsi="宋体" w:cs="宋体"/>
          <w:sz w:val="24"/>
          <w:highlight w:val="none"/>
        </w:rPr>
        <w:t>申购份额</w:t>
      </w:r>
      <w:r>
        <w:rPr>
          <w:rFonts w:hint="eastAsia" w:ascii="宋体" w:hAnsi="宋体" w:cs="宋体"/>
          <w:sz w:val="24"/>
          <w:highlight w:val="none"/>
        </w:rPr>
        <w:t>、</w:t>
      </w:r>
      <w:r>
        <w:rPr>
          <w:rFonts w:ascii="宋体" w:hAnsi="宋体" w:cs="宋体"/>
          <w:sz w:val="24"/>
          <w:highlight w:val="none"/>
        </w:rPr>
        <w:t>赎回金额</w:t>
      </w:r>
      <w:r>
        <w:rPr>
          <w:rFonts w:hint="eastAsia" w:ascii="宋体" w:hAnsi="宋体" w:cs="宋体"/>
          <w:sz w:val="24"/>
          <w:highlight w:val="none"/>
        </w:rPr>
        <w:t>、份额净值</w:t>
      </w:r>
      <w:r>
        <w:rPr>
          <w:rFonts w:ascii="宋体" w:hAnsi="宋体" w:cs="宋体"/>
          <w:sz w:val="24"/>
          <w:highlight w:val="none"/>
        </w:rPr>
        <w:t>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（1）理财产品申购份额的计算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本理财产品采用“金额申购”方式，申购份额以申购对应开放日当天的该理财产品份额净值为基准进行计算。本理财产品不收取申购费。申购份额的计算保留至小数点后2位，2位小数点后四舍五入。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计算方法如下：申购份额=申购金额/申购对应开放日该产品份额净值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示例：某投资者投资100,000.00元申购本理财产品份额，假设开放日的份额净值为1.0100元/份，则其可得到的申购份额为：申购份额＝100,000.00÷1.0100＝99,009.90。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▲示例仅为向投资者介绍理财产品申购份额计算方法，数据均为模拟数据。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w:t>
      </w:r>
      <w:r>
        <w:rPr>
          <w:rFonts w:ascii="宋体" w:hAnsi="宋体" w:cs="宋体"/>
          <w:sz w:val="24"/>
          <w:highlight w:val="none"/>
        </w:rPr>
        <w:t>2）</w:t>
      </w:r>
      <w:r>
        <w:rPr>
          <w:rFonts w:hint="eastAsia" w:ascii="宋体" w:hAnsi="宋体" w:cs="宋体"/>
          <w:sz w:val="24"/>
          <w:highlight w:val="none"/>
        </w:rPr>
        <w:t>理财产品赎回金额的计算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本理财产品采用“份额赎回”方式，赎回价格以赎回对应开放日的理财产品份额净值为基准进行计算。本理财产品不收取赎回费。赎回金额的计算保留至小数点后2位，2位小数点后四舍五入。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计算方法如下：赎回金额＝赎回份额×赎回对应开放日该产品份额净值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示例：假定某投资者在赎回开放日赎回100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份理财产品，对应开放日该份额的理财产品份额净值为1.0530元/份。</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投资者应得赎回资金＝100000×1.0530＝105</w:t>
      </w:r>
      <w:r>
        <w:rPr>
          <w:rFonts w:ascii="宋体" w:hAnsi="宋体" w:cs="宋体"/>
          <w:sz w:val="24"/>
          <w:highlight w:val="none"/>
        </w:rPr>
        <w:t>,</w:t>
      </w:r>
      <w:r>
        <w:rPr>
          <w:rFonts w:hint="eastAsia" w:ascii="宋体" w:hAnsi="宋体" w:cs="宋体"/>
          <w:sz w:val="24"/>
          <w:highlight w:val="none"/>
        </w:rPr>
        <w:t>300</w:t>
      </w:r>
      <w:r>
        <w:rPr>
          <w:rFonts w:ascii="宋体" w:hAnsi="宋体" w:cs="宋体"/>
          <w:sz w:val="24"/>
          <w:highlight w:val="none"/>
        </w:rPr>
        <w:t>.00</w:t>
      </w:r>
      <w:r>
        <w:rPr>
          <w:rFonts w:hint="eastAsia" w:ascii="宋体" w:hAnsi="宋体" w:cs="宋体"/>
          <w:sz w:val="24"/>
          <w:highlight w:val="none"/>
        </w:rPr>
        <w:t>元人民币</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▲示例仅为向投资者介绍理财产品赎回金额计算方法，数据均为模拟数据。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（3）赎回的支付</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确认投资者赎回成功后，管理人将为投资者扣减份额，并将投资者应得的赎回资金于赎回开放日后2个交易日内通过销售服务机构划转至投资者账户。</w:t>
      </w:r>
      <w:r>
        <w:rPr>
          <w:rFonts w:hint="eastAsia" w:ascii="宋体" w:hAnsi="宋体" w:cs="宋体"/>
          <w:b/>
          <w:bCs/>
          <w:sz w:val="24"/>
          <w:highlight w:val="none"/>
        </w:rPr>
        <w:t>如遇证券交易所或者交易市场数据传输延迟、通讯系统故障或其他因素影响了业务流程，则赎回款项到账时间相应顺延至上述情形消除后的下一交易日。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在发生巨额赎回、连续巨额赎回或产品说明书约定的其他暂停接受或延期办理赎回申请或延缓支付赎回款项的情形时，赎回资金的支付参考《理财产品说明书》相关条款处理。</w:t>
      </w:r>
    </w:p>
    <w:p>
      <w:pPr>
        <w:numPr>
          <w:ilvl w:val="0"/>
          <w:numId w:val="7"/>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理财产品份额净值的计算</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w:t>
      </w:r>
      <w:r>
        <w:rPr>
          <w:rFonts w:ascii="宋体" w:hAnsi="宋体" w:eastAsia="宋体"/>
          <w:sz w:val="24"/>
          <w:szCs w:val="24"/>
          <w:highlight w:val="none"/>
        </w:rPr>
        <w:t>理财产品份额净值=</w:t>
      </w:r>
      <w:r>
        <w:rPr>
          <w:rFonts w:hint="eastAsia" w:ascii="宋体" w:hAnsi="宋体" w:eastAsia="宋体"/>
          <w:sz w:val="24"/>
          <w:szCs w:val="24"/>
          <w:highlight w:val="none"/>
        </w:rPr>
        <w:t>本</w:t>
      </w:r>
      <w:r>
        <w:rPr>
          <w:rFonts w:ascii="宋体" w:hAnsi="宋体" w:eastAsia="宋体"/>
          <w:sz w:val="24"/>
          <w:szCs w:val="24"/>
          <w:highlight w:val="none"/>
        </w:rPr>
        <w:t>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hint="eastAsia" w:ascii="宋体" w:hAnsi="宋体" w:eastAsia="宋体" w:cs="宋体"/>
          <w:sz w:val="24"/>
          <w:highlight w:val="none"/>
          <w:lang w:bidi="ar"/>
        </w:rPr>
        <w:t>/</w:t>
      </w:r>
      <w:r>
        <w:rPr>
          <w:rFonts w:hint="eastAsia" w:ascii="宋体" w:hAnsi="宋体" w:cs="宋体"/>
          <w:sz w:val="24"/>
          <w:highlight w:val="none"/>
          <w:lang w:bidi="ar"/>
        </w:rPr>
        <w:t>本理财</w:t>
      </w:r>
      <w:r>
        <w:rPr>
          <w:rFonts w:ascii="宋体" w:hAnsi="宋体" w:eastAsia="宋体"/>
          <w:sz w:val="24"/>
          <w:szCs w:val="24"/>
          <w:highlight w:val="none"/>
        </w:rPr>
        <w:t>产品</w:t>
      </w:r>
      <w:r>
        <w:rPr>
          <w:rFonts w:hint="eastAsia" w:ascii="宋体" w:hAnsi="宋体" w:eastAsia="宋体"/>
          <w:sz w:val="24"/>
          <w:szCs w:val="24"/>
          <w:highlight w:val="none"/>
        </w:rPr>
        <w:t>份额数</w:t>
      </w:r>
    </w:p>
    <w:p>
      <w:pPr>
        <w:widowControl/>
        <w:spacing w:line="300" w:lineRule="auto"/>
        <w:ind w:firstLine="480" w:firstLineChars="200"/>
        <w:jc w:val="left"/>
        <w:rPr>
          <w:rFonts w:hint="eastAsia" w:ascii="宋体" w:hAnsi="宋体" w:cs="宋体"/>
          <w:sz w:val="24"/>
          <w:highlight w:val="none"/>
        </w:rPr>
      </w:pPr>
      <w:r>
        <w:rPr>
          <w:rFonts w:hint="eastAsia" w:ascii="宋体" w:hAnsi="宋体" w:cs="宋体"/>
          <w:sz w:val="24"/>
          <w:highlight w:val="none"/>
          <w:lang w:bidi="ar"/>
        </w:rPr>
        <w:t>本理财产品份额净值的计算，按四舍五入法保留到小数点后6位，由此误差产生的收益或损失由本理财产品财产承担。</w:t>
      </w:r>
    </w:p>
    <w:p>
      <w:pPr>
        <w:numPr>
          <w:ilvl w:val="255"/>
          <w:numId w:val="0"/>
        </w:numPr>
        <w:spacing w:line="300" w:lineRule="auto"/>
        <w:ind w:firstLine="482" w:firstLineChars="200"/>
        <w:rPr>
          <w:rFonts w:hint="eastAsia" w:ascii="宋体" w:hAnsi="宋体" w:cs="宋体"/>
          <w:sz w:val="24"/>
          <w:highlight w:val="none"/>
        </w:rPr>
      </w:pPr>
      <w:r>
        <w:rPr>
          <w:rFonts w:hint="eastAsia" w:ascii="宋体" w:hAnsi="宋体" w:cs="宋体"/>
          <w:b/>
          <w:bCs/>
          <w:sz w:val="24"/>
          <w:highlight w:val="none"/>
        </w:rPr>
        <w:t>（四）巨额赎回的情形及处理认定</w:t>
      </w:r>
    </w:p>
    <w:p>
      <w:pPr>
        <w:numPr>
          <w:ilvl w:val="0"/>
          <w:numId w:val="8"/>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巨额赎回的认定</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在理财产品存续期内，若理财产品单个开放日净赎回申请份额（赎回申请份额总数扣除申购申请份额总数）超过本理财产品上一交易日日终份额的10%时，即为发生巨额赎回。若理财产品连续</w:t>
      </w:r>
      <w:r>
        <w:rPr>
          <w:rFonts w:ascii="宋体" w:hAnsi="宋体" w:cs="宋体"/>
          <w:b/>
          <w:bCs/>
          <w:sz w:val="24"/>
          <w:highlight w:val="none"/>
        </w:rPr>
        <w:t>2个开放日</w:t>
      </w:r>
      <w:r>
        <w:rPr>
          <w:rFonts w:hint="eastAsia" w:ascii="宋体" w:hAnsi="宋体" w:cs="宋体"/>
          <w:b/>
          <w:bCs/>
          <w:sz w:val="24"/>
          <w:highlight w:val="none"/>
        </w:rPr>
        <w:t>（</w:t>
      </w:r>
      <w:r>
        <w:rPr>
          <w:rFonts w:ascii="宋体" w:hAnsi="宋体" w:cs="宋体"/>
          <w:b/>
          <w:bCs/>
          <w:sz w:val="24"/>
          <w:highlight w:val="none"/>
        </w:rPr>
        <w:t>含</w:t>
      </w:r>
      <w:r>
        <w:rPr>
          <w:rFonts w:hint="eastAsia" w:ascii="宋体" w:hAnsi="宋体" w:cs="宋体"/>
          <w:b/>
          <w:bCs/>
          <w:sz w:val="24"/>
          <w:highlight w:val="none"/>
        </w:rPr>
        <w:t>）及</w:t>
      </w:r>
      <w:r>
        <w:rPr>
          <w:rFonts w:ascii="宋体" w:hAnsi="宋体" w:cs="宋体"/>
          <w:b/>
          <w:bCs/>
          <w:sz w:val="24"/>
          <w:highlight w:val="none"/>
        </w:rPr>
        <w:t>以上发生巨额赎回</w:t>
      </w:r>
      <w:r>
        <w:rPr>
          <w:rFonts w:hint="eastAsia" w:ascii="宋体" w:hAnsi="宋体" w:cs="宋体"/>
          <w:b/>
          <w:bCs/>
          <w:sz w:val="24"/>
          <w:highlight w:val="none"/>
        </w:rPr>
        <w:t>，即为发生连续巨额赎回。</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（2）巨额赎回的处理方式</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当理财产品出现巨额赎回时，管理人有权依照理财产品当时的资产组合状况选择全额赎回、部分赎回或延缓支付赎回款项。</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1）全额赎回：</w:t>
      </w:r>
      <w:r>
        <w:rPr>
          <w:rFonts w:ascii="宋体" w:hAnsi="宋体" w:eastAsia="宋体" w:cs="宋体"/>
          <w:b/>
          <w:bCs/>
          <w:sz w:val="24"/>
          <w:highlight w:val="none"/>
        </w:rPr>
        <w:t>当管理人有能力支付投资者的全部赎回申请且不会对本理财产品资产净值造成较大波动时，按正常赎回程序执行。</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部分赎回：当管理人认为支付投资者的赎回款项有困难或认为因支付投资者的赎回款项而进行的资产变现可能会对理财产品资产净值造成较大波动等情形时，在当日接受赎回比例不低于上一交易日日终理财产品总份额的10%的前提下，管理人有权暂停接受超过10%以上部分的赎回申请，或对超过10%以上部分的赎回申请延期办理。若管理人对于超过10%以上部分的赎回申请选择延期办理，管理人有权于开放日按照投资者赎回递交申请的顺序，依照时间优先（即先申请、先赎回）的原则确认当日受理的赎回申请；或对投资者的所有赎回申请，按照单个投资者当日申请赎回份额占当日申请赎回总份额的比例进行确认。</w:t>
      </w:r>
    </w:p>
    <w:p>
      <w:p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在管理人对于超过10%以上部分的赎回申请选择延期办理的情况下，对于未能赎回部分，投资者若选择将当日未获办理的赎回申请予以撤销或放弃，则不再继续办理该部分赎回业务。若投资者未选择撤销或放弃，管理人有权延期至下一个开放日办理，延期至下一个开放日办理的赎回价格为下一个开放日的价格，顺延至下一开放日的赎回申请不享有优先确认权。</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延缓支付赎回款项：若理财产品连续2个开放日（含）及以上发生巨额赎回，管理人除有权选择全额赎回或部分赎回等措施外，对于已经接受的赎回申请，管理人有权延缓支付赎回款项，但延缓支付期限不得超过20个工作日。</w:t>
      </w:r>
    </w:p>
    <w:p>
      <w:pPr>
        <w:numPr>
          <w:ilvl w:val="0"/>
          <w:numId w:val="9"/>
        </w:numPr>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当发生巨额赎回或连续巨额赎回，管理人选择延期办理巨额赎回申请、暂停接受赎回申请或延缓支付赎回款项时，管理人将根据本理财产品说明书约定的信息披露方式向投资者进行信息披露。</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（五）拒绝或暂停接受认购/申购申请的情形及处理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管理人可拒绝接受或暂停接受投资者的认购/申购申请的情形包括：</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1.不可抗力或国家经济金融政策发生变化等原因导致本产品无法正常运作；</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2.证券交易场所或银行间债券市场依法决定停市等情形；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3.本理财产品投资的主要证券、期货交易市场或外汇市场休市或处于公众节假日，可能影响本理财产品正常估值时。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4.发生产品说明书约定的暂停估值的情形时。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5.投资者申购超过本产品说明书约定的发行规模上限、单笔认购/申购上限、单一投资者持有上限等。</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6.当本理财产品规模过大，管理人无法找到合适的投资品种，或存在其他可能对本理财产品投资业绩产生负面影响的情形时。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7.管理人接受某笔或者某些认购/申购申请有可能导致单一投资者持有理财产品份额的比例达到或者超过50%，或者变相规避50%集中度的情形。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根据法律法规或监管要求，如发生投资者未能满足管理人的客户尽职调查、大额和可疑交易监测及报告、反恐怖融资及制裁名单筛查等措施的配合义务时（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9.法律法规规定或管理人基于审慎考虑认定的其他情形。</w:t>
      </w:r>
    </w:p>
    <w:p>
      <w:pPr>
        <w:spacing w:line="300" w:lineRule="auto"/>
        <w:ind w:firstLine="480" w:firstLineChars="200"/>
        <w:rPr>
          <w:rFonts w:hint="eastAsia" w:ascii="宋体" w:hAnsi="宋体" w:cs="宋体"/>
          <w:b/>
          <w:bCs/>
          <w:sz w:val="24"/>
          <w:highlight w:val="none"/>
        </w:rPr>
      </w:pPr>
      <w:r>
        <w:rPr>
          <w:rFonts w:hint="eastAsia" w:ascii="宋体" w:hAnsi="宋体" w:cs="宋体"/>
          <w:sz w:val="24"/>
          <w:highlight w:val="none"/>
        </w:rPr>
        <w:t>当发生上述拒绝或暂停接受认购/申购申请的情形时，管理人将在3个交易日内根据本产品说明书约定的信息披露方式向投资者进行信息披露。</w:t>
      </w:r>
      <w:r>
        <w:rPr>
          <w:rFonts w:hint="eastAsia" w:ascii="宋体" w:hAnsi="宋体" w:cs="宋体"/>
          <w:b/>
          <w:bCs/>
          <w:sz w:val="24"/>
          <w:highlight w:val="none"/>
        </w:rPr>
        <w:t>如果投资者的认购/申购申请被拒绝，被拒绝的认购/申购款项将在5个工作日内全额退还给投资者，扣款日至资金返还日期间不计付利息。投资者通过销售服务机构购买理财产品的，以销售服务机构的规定为准。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（六）拒绝或暂停接受赎回申请或延缓支付赎回款项的情形及处理</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因战争、自然灾害、系统故障等不可抗力导致理财产品无法正常运作。</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2.</w:t>
      </w:r>
      <w:r>
        <w:rPr>
          <w:rFonts w:hint="eastAsia" w:ascii="宋体" w:hAnsi="宋体" w:cs="宋体"/>
          <w:sz w:val="24"/>
          <w:highlight w:val="none"/>
        </w:rPr>
        <w:t>发生产品说明书约定的暂停估值的情形时。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3.</w:t>
      </w:r>
      <w:r>
        <w:rPr>
          <w:rFonts w:hint="eastAsia" w:ascii="宋体" w:hAnsi="宋体" w:cs="宋体"/>
          <w:sz w:val="24"/>
          <w:highlight w:val="none"/>
        </w:rPr>
        <w:t>发生巨额赎回或连续巨额赎回的情形时。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rPr>
        <w:t>当接受某笔或某些赎回申请可能对存量理财产品份额持有人利益构成潜在重大不利影响时。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5.</w:t>
      </w:r>
      <w:r>
        <w:rPr>
          <w:rFonts w:hint="eastAsia" w:ascii="宋体" w:hAnsi="宋体" w:cs="宋体"/>
          <w:sz w:val="24"/>
          <w:highlight w:val="none"/>
        </w:rPr>
        <w:t>发生赎回申请超过赎回上限的情形。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6.</w:t>
      </w:r>
      <w:r>
        <w:rPr>
          <w:rFonts w:hint="eastAsia" w:ascii="宋体" w:hAnsi="宋体" w:cs="宋体"/>
          <w:sz w:val="24"/>
          <w:highlight w:val="none"/>
        </w:rPr>
        <w:t>发生单个投资者单个开放日申请赎回理财产品份额超过上一交易日日终理财产品总份额的</w:t>
      </w:r>
      <w:r>
        <w:rPr>
          <w:rFonts w:ascii="宋体" w:hAnsi="宋体" w:cs="宋体"/>
          <w:sz w:val="24"/>
          <w:highlight w:val="none"/>
        </w:rPr>
        <w:t>10%</w:t>
      </w:r>
      <w:r>
        <w:rPr>
          <w:rFonts w:hint="eastAsia" w:ascii="宋体" w:hAnsi="宋体" w:cs="宋体"/>
          <w:sz w:val="24"/>
          <w:highlight w:val="none"/>
        </w:rPr>
        <w:t>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7.</w:t>
      </w:r>
      <w:r>
        <w:rPr>
          <w:rFonts w:hint="eastAsia" w:ascii="宋体" w:hAnsi="宋体" w:cs="宋体"/>
          <w:sz w:val="24"/>
          <w:highlight w:val="none"/>
        </w:rPr>
        <w:t>本产品说明书规定的其他情形。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8.</w:t>
      </w:r>
      <w:r>
        <w:rPr>
          <w:rFonts w:hint="eastAsia" w:ascii="宋体" w:hAnsi="宋体" w:cs="宋体"/>
          <w:sz w:val="24"/>
          <w:highlight w:val="none"/>
        </w:rPr>
        <w:t>法律法规规定或监管机构认定的其他情形。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当发生上述暂停接受赎回申请或延缓支付赎回款项的情形时，管理人将在</w:t>
      </w:r>
      <w:r>
        <w:rPr>
          <w:rFonts w:ascii="宋体" w:hAnsi="宋体" w:cs="宋体"/>
          <w:sz w:val="24"/>
          <w:highlight w:val="none"/>
        </w:rPr>
        <w:t>3</w:t>
      </w:r>
      <w:r>
        <w:rPr>
          <w:rFonts w:hint="eastAsia" w:ascii="宋体" w:hAnsi="宋体" w:cs="宋体"/>
          <w:sz w:val="24"/>
          <w:highlight w:val="none"/>
        </w:rPr>
        <w:t>个交易日内根据本产品说明书约定的信息披露方式向投资者进行信息披露。如投资者的全部或部分赎回申请被拒绝，投资者可将当日未能受理部分予以撤销。在上述暂停赎回或延缓支付的情况消除时，管理人将及时恢复赎回业务的办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（七）</w:t>
      </w:r>
      <w:r>
        <w:rPr>
          <w:rFonts w:hint="eastAsia" w:ascii="宋体" w:hAnsi="宋体" w:eastAsia="宋体"/>
          <w:sz w:val="24"/>
          <w:szCs w:val="24"/>
          <w:highlight w:val="none"/>
        </w:rPr>
        <w:t>其他事项</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以上产品申购、赎回规则如有调整的，以管理人公告为准。投资者通过销售服务机构申购或赎回理财产品的，还应按照销售服务机构对于申购、赎回方式的规则执行，具体以销售服务机构披露的规则为准。投资者通过不同销售服务机构办理申购、赎回业务的，可能会因不同销售服务机构的申购、赎回规则不同对权益产生影响。</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cs="宋体"/>
          <w:sz w:val="24"/>
          <w:highlight w:val="none"/>
        </w:rPr>
        <w:t>（</w:t>
      </w:r>
      <w:r>
        <w:rPr>
          <w:rFonts w:hint="eastAsia" w:ascii="宋体" w:hAnsi="宋体" w:eastAsia="宋体"/>
          <w:sz w:val="24"/>
          <w:szCs w:val="24"/>
          <w:highlight w:val="none"/>
        </w:rPr>
        <w:t>八）</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10"/>
        </w:numPr>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本产品估值日为自产品成立日至到期日（不含）期间的每个交易日，根据产品持有的资产价格变化对估值日产品进行估值并于估值日的后</w:t>
      </w:r>
      <w:r>
        <w:rPr>
          <w:rFonts w:ascii="宋体" w:hAnsi="宋体" w:eastAsia="宋体"/>
          <w:sz w:val="24"/>
          <w:szCs w:val="24"/>
          <w:highlight w:val="none"/>
        </w:rPr>
        <w:t>2个工作日内进行披露。份额</w:t>
      </w:r>
      <w:r>
        <w:rPr>
          <w:rFonts w:hint="eastAsia" w:ascii="宋体" w:hAnsi="宋体" w:eastAsia="宋体"/>
          <w:sz w:val="24"/>
          <w:szCs w:val="24"/>
          <w:highlight w:val="none"/>
        </w:rPr>
        <w:t>净值为缴纳增值税等相关税费，并提取管理费、托管费、销售服务费等相关费用后的理财产品单位份额净值，份额净值精确到小数点后</w:t>
      </w:r>
      <w:r>
        <w:rPr>
          <w:rFonts w:ascii="宋体" w:hAnsi="宋体" w:eastAsia="宋体"/>
          <w:sz w:val="24"/>
          <w:szCs w:val="24"/>
          <w:highlight w:val="none"/>
        </w:rPr>
        <w:t>6位，小数点6位以后四舍五</w:t>
      </w:r>
      <w:r>
        <w:rPr>
          <w:rFonts w:hint="eastAsia" w:ascii="宋体" w:hAnsi="宋体" w:eastAsia="宋体"/>
          <w:sz w:val="24"/>
          <w:szCs w:val="24"/>
          <w:highlight w:val="none"/>
        </w:rPr>
        <w:t>入，如本理财产品设置不同的产品份额类别，则每个产品份额将单独进行估值。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5.证券投资基金的估值：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w:t>
      </w:r>
      <w:r>
        <w:rPr>
          <w:rFonts w:hint="eastAsia" w:ascii="宋体" w:hAnsi="宋体" w:eastAsia="宋体"/>
          <w:sz w:val="24"/>
          <w:szCs w:val="24"/>
          <w:highlight w:val="none"/>
        </w:rPr>
        <w:t>但管理人、托管人应当积极采取必要的措施减轻或消除由此造成的影响。（</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rPr>
        <w:t>管理人收取理财产品固定管理费，</w:t>
      </w:r>
      <w:r>
        <w:rPr>
          <w:rFonts w:hint="eastAsia" w:ascii="宋体" w:hAnsi="宋体" w:eastAsia="宋体"/>
          <w:b/>
          <w:bCs/>
          <w:sz w:val="24"/>
          <w:szCs w:val="24"/>
          <w:highlight w:val="none"/>
          <w:lang w:bidi="ar"/>
        </w:rPr>
        <w:t>固定投资管理费率为【0.6</w:t>
      </w:r>
      <w:r>
        <w:rPr>
          <w:rFonts w:hint="eastAsia" w:ascii="宋体" w:hAnsi="宋体" w:eastAsia="宋体"/>
          <w:b/>
          <w:bCs/>
          <w:sz w:val="24"/>
          <w:szCs w:val="24"/>
          <w:highlight w:val="none"/>
          <w:lang w:val="en-US" w:eastAsia="zh-CN" w:bidi="ar"/>
        </w:rPr>
        <w:t>0</w:t>
      </w:r>
      <w:r>
        <w:rPr>
          <w:rFonts w:hint="eastAsia" w:ascii="宋体" w:hAnsi="宋体" w:eastAsia="宋体"/>
          <w:b/>
          <w:bCs/>
          <w:sz w:val="24"/>
          <w:szCs w:val="24"/>
          <w:highlight w:val="none"/>
          <w:lang w:bidi="ar"/>
        </w:rPr>
        <w:t>】</w:t>
      </w:r>
      <w:r>
        <w:rPr>
          <w:rFonts w:ascii="宋体" w:hAnsi="宋体" w:eastAsia="宋体"/>
          <w:b/>
          <w:bCs/>
          <w:sz w:val="24"/>
          <w:szCs w:val="24"/>
          <w:highlight w:val="none"/>
          <w:lang w:bidi="ar"/>
        </w:rPr>
        <w:t>%/年</w:t>
      </w:r>
      <w:r>
        <w:rPr>
          <w:rFonts w:hint="eastAsia" w:ascii="宋体" w:hAnsi="宋体" w:eastAsia="宋体"/>
          <w:b/>
          <w:bCs/>
          <w:sz w:val="24"/>
          <w:szCs w:val="24"/>
          <w:highlight w:val="none"/>
        </w:rPr>
        <w:t>，每个自然日计提，按【季】支付给管理人，同时管理人有权根据实际情况延后/提前支付上述费用。产品到期或提前终止情况下，在产品到期日或提前终止日后支付剩余应付未付的费用。具体固定管理费率以管理人公告为准。计算方法如下：</w:t>
      </w:r>
      <w:r>
        <w:rPr>
          <w:rFonts w:ascii="宋体" w:hAnsi="宋体" w:eastAsia="宋体"/>
          <w:b/>
          <w:bCs/>
          <w:sz w:val="24"/>
          <w:szCs w:val="24"/>
          <w:highlight w:val="none"/>
        </w:rPr>
        <w:t>每个自然日计提的</w:t>
      </w:r>
      <w:r>
        <w:rPr>
          <w:rFonts w:hint="eastAsia" w:ascii="宋体" w:hAnsi="宋体" w:eastAsia="宋体"/>
          <w:b/>
          <w:bCs/>
          <w:sz w:val="24"/>
          <w:szCs w:val="24"/>
          <w:highlight w:val="none"/>
        </w:rPr>
        <w:t>固定管理费</w:t>
      </w:r>
      <w:r>
        <w:rPr>
          <w:rFonts w:ascii="宋体" w:hAnsi="宋体" w:eastAsia="宋体"/>
          <w:b/>
          <w:bCs/>
          <w:sz w:val="24"/>
          <w:szCs w:val="24"/>
          <w:highlight w:val="none"/>
        </w:rPr>
        <w:t>=</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rPr>
        <w:t>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固定管理费</w:t>
      </w:r>
      <w:r>
        <w:rPr>
          <w:rFonts w:ascii="宋体" w:hAnsi="宋体" w:eastAsia="宋体"/>
          <w:b/>
          <w:bCs/>
          <w:sz w:val="24"/>
          <w:szCs w:val="24"/>
          <w:highlight w:val="none"/>
        </w:rPr>
        <w:t>精确到小数点后2位，</w:t>
      </w:r>
      <w:r>
        <w:rPr>
          <w:rFonts w:hint="eastAsia" w:ascii="宋体" w:hAnsi="宋体" w:eastAsia="宋体"/>
          <w:b/>
          <w:bCs/>
          <w:sz w:val="24"/>
          <w:szCs w:val="24"/>
          <w:highlight w:val="none"/>
        </w:rPr>
        <w:t>小数点</w:t>
      </w:r>
      <w:r>
        <w:rPr>
          <w:rFonts w:ascii="宋体" w:hAnsi="宋体" w:eastAsia="宋体"/>
          <w:b/>
          <w:bCs/>
          <w:sz w:val="24"/>
          <w:szCs w:val="24"/>
          <w:highlight w:val="none"/>
        </w:rPr>
        <w:t>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w:t>
      </w:r>
      <w:r>
        <w:rPr>
          <w:rFonts w:ascii="宋体" w:hAnsi="宋体" w:eastAsia="宋体"/>
          <w:b/>
          <w:bCs/>
          <w:sz w:val="24"/>
          <w:szCs w:val="24"/>
          <w:highlight w:val="none"/>
        </w:rPr>
        <w:t>销售服务费：</w:t>
      </w:r>
      <w:r>
        <w:rPr>
          <w:rFonts w:hint="eastAsia" w:ascii="宋体" w:hAnsi="宋体" w:eastAsia="宋体"/>
          <w:b/>
          <w:bCs/>
          <w:sz w:val="24"/>
          <w:szCs w:val="24"/>
          <w:highlight w:val="none"/>
        </w:rPr>
        <w:t>销售服务机构收取理财产品销售服务费，</w:t>
      </w: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A类份额】销售服务费率为【0.6</w:t>
      </w:r>
      <w:r>
        <w:rPr>
          <w:rFonts w:hint="eastAsia" w:ascii="宋体" w:hAnsi="宋体" w:eastAsia="宋体"/>
          <w:b/>
          <w:bCs/>
          <w:sz w:val="24"/>
          <w:szCs w:val="24"/>
          <w:highlight w:val="none"/>
          <w:lang w:val="en-US" w:eastAsia="zh-CN"/>
        </w:rPr>
        <w:t>0</w:t>
      </w:r>
      <w:r>
        <w:rPr>
          <w:rFonts w:hint="eastAsia" w:ascii="宋体" w:hAnsi="宋体" w:eastAsia="宋体"/>
          <w:b/>
          <w:bCs/>
          <w:sz w:val="24"/>
          <w:szCs w:val="24"/>
          <w:highlight w:val="none"/>
        </w:rPr>
        <w:t>】%/年，每个自然日计提，按【季】支付给销售服务机构，同时管理人有权根据实际情况延后/提前支付上述费用。产品到期或提前终止情况下，在产品到期日或提前终止日后支付剩余应付未付的费用。具体销售服务费率以管理人公告为准。计算方法如下：</w:t>
      </w:r>
      <w:r>
        <w:rPr>
          <w:rFonts w:ascii="宋体" w:hAnsi="宋体" w:eastAsia="宋体"/>
          <w:b/>
          <w:bCs/>
          <w:sz w:val="24"/>
          <w:szCs w:val="24"/>
          <w:highlight w:val="none"/>
        </w:rPr>
        <w:t>每个自然日计提的销售服务费=</w:t>
      </w:r>
      <w:r>
        <w:rPr>
          <w:rFonts w:hint="eastAsia" w:ascii="宋体" w:hAnsi="宋体" w:eastAsia="宋体"/>
          <w:b/>
          <w:bCs/>
          <w:sz w:val="24"/>
          <w:szCs w:val="24"/>
          <w:highlight w:val="none"/>
          <w:lang w:bidi="ar"/>
        </w:rPr>
        <w:t>上一自然日理财产品净资产</w:t>
      </w:r>
      <w:r>
        <w:rPr>
          <w:rFonts w:ascii="宋体" w:hAnsi="宋体" w:eastAsia="宋体"/>
          <w:b/>
          <w:bCs/>
          <w:sz w:val="24"/>
          <w:szCs w:val="24"/>
          <w:highlight w:val="none"/>
        </w:rPr>
        <w:t>×</w:t>
      </w:r>
      <w:r>
        <w:rPr>
          <w:rFonts w:hint="eastAsia" w:ascii="宋体" w:hAnsi="宋体" w:eastAsia="宋体"/>
          <w:b/>
          <w:bCs/>
          <w:sz w:val="24"/>
          <w:szCs w:val="24"/>
          <w:highlight w:val="none"/>
          <w:lang w:bidi="ar"/>
        </w:rPr>
        <w:t>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。各类份额</w:t>
      </w:r>
      <w:r>
        <w:rPr>
          <w:rFonts w:hint="eastAsia" w:ascii="宋体" w:hAnsi="宋体" w:eastAsia="宋体"/>
          <w:b/>
          <w:bCs/>
          <w:sz w:val="24"/>
          <w:szCs w:val="24"/>
          <w:highlight w:val="none"/>
          <w:lang w:bidi="ar"/>
        </w:rPr>
        <w:t>销售服费精确到小数点后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5.</w:t>
      </w:r>
      <w:r>
        <w:rPr>
          <w:rFonts w:ascii="宋体" w:hAnsi="宋体" w:eastAsia="宋体"/>
          <w:b/>
          <w:bCs/>
          <w:sz w:val="24"/>
          <w:szCs w:val="24"/>
          <w:highlight w:val="none"/>
        </w:rPr>
        <w:t>托管费：</w:t>
      </w:r>
      <w:r>
        <w:rPr>
          <w:rFonts w:hint="eastAsia" w:ascii="宋体" w:hAnsi="宋体" w:eastAsia="宋体"/>
          <w:b/>
          <w:bCs/>
          <w:sz w:val="24"/>
          <w:szCs w:val="24"/>
          <w:highlight w:val="none"/>
        </w:rPr>
        <w:t>托管人对本理财产品收取托管费，</w:t>
      </w:r>
      <w:r>
        <w:rPr>
          <w:rFonts w:ascii="宋体" w:hAnsi="宋体" w:eastAsia="宋体"/>
          <w:b/>
          <w:bCs/>
          <w:sz w:val="24"/>
          <w:szCs w:val="24"/>
          <w:highlight w:val="none"/>
        </w:rPr>
        <w:t>托管费率为</w:t>
      </w:r>
      <w:r>
        <w:rPr>
          <w:rFonts w:hint="eastAsia" w:ascii="宋体" w:hAnsi="宋体" w:eastAsia="宋体"/>
          <w:b/>
          <w:bCs/>
          <w:sz w:val="24"/>
          <w:szCs w:val="24"/>
          <w:highlight w:val="none"/>
        </w:rPr>
        <w:t>【0.02】</w:t>
      </w:r>
      <w:r>
        <w:rPr>
          <w:rFonts w:ascii="宋体" w:hAnsi="宋体" w:eastAsia="宋体"/>
          <w:b/>
          <w:bCs/>
          <w:sz w:val="24"/>
          <w:szCs w:val="24"/>
          <w:highlight w:val="none"/>
        </w:rPr>
        <w:t>%/年</w:t>
      </w:r>
      <w:r>
        <w:rPr>
          <w:rFonts w:hint="eastAsia" w:ascii="宋体" w:hAnsi="宋体" w:eastAsia="宋体"/>
          <w:b/>
          <w:bCs/>
          <w:sz w:val="24"/>
          <w:szCs w:val="24"/>
          <w:highlight w:val="none"/>
        </w:rPr>
        <w:t>，每个自然日计提，按【季】支付给托管人，同时管理人有权根据实际情况延后/提前支付上述费用。产品到期或提前终止情况下，在产品到期日或提前终止日后支付剩余应付未付的费用。具体托管费率以管理人公告为准。计算方法如下：本理财产品</w:t>
      </w:r>
      <w:r>
        <w:rPr>
          <w:rFonts w:hint="eastAsia" w:ascii="宋体" w:hAnsi="宋体" w:eastAsia="宋体"/>
          <w:b/>
          <w:bCs/>
          <w:sz w:val="24"/>
          <w:szCs w:val="24"/>
          <w:highlight w:val="none"/>
          <w:lang w:bidi="ar"/>
        </w:rPr>
        <w:t>每个自然日计提的托管费</w:t>
      </w:r>
      <w:r>
        <w:rPr>
          <w:rFonts w:ascii="宋体" w:hAnsi="宋体" w:eastAsia="宋体"/>
          <w:b/>
          <w:bCs/>
          <w:sz w:val="24"/>
          <w:szCs w:val="24"/>
          <w:highlight w:val="none"/>
          <w:lang w:bidi="ar"/>
        </w:rPr>
        <w:t>=</w:t>
      </w:r>
      <w:r>
        <w:rPr>
          <w:rFonts w:hint="eastAsia" w:ascii="宋体" w:hAnsi="宋体" w:eastAsia="宋体"/>
          <w:b/>
          <w:bCs/>
          <w:sz w:val="24"/>
          <w:szCs w:val="24"/>
          <w:highlight w:val="none"/>
          <w:lang w:bidi="ar"/>
        </w:rPr>
        <w:t>上一自然日理财产品净资产×托管费率</w:t>
      </w:r>
      <w:r>
        <w:rPr>
          <w:rFonts w:ascii="宋体" w:hAnsi="宋体" w:eastAsia="宋体"/>
          <w:b/>
          <w:bCs/>
          <w:sz w:val="24"/>
          <w:szCs w:val="24"/>
          <w:highlight w:val="none"/>
          <w:lang w:bidi="ar"/>
        </w:rPr>
        <w:t>÷365</w:t>
      </w:r>
      <w:r>
        <w:rPr>
          <w:rFonts w:hint="eastAsia" w:ascii="宋体" w:hAnsi="宋体" w:eastAsia="宋体"/>
          <w:b/>
          <w:bCs/>
          <w:sz w:val="24"/>
          <w:szCs w:val="24"/>
          <w:highlight w:val="none"/>
          <w:lang w:bidi="ar"/>
        </w:rPr>
        <w:t>。托管费精确到小数点后</w:t>
      </w:r>
      <w:r>
        <w:rPr>
          <w:rFonts w:ascii="宋体" w:hAnsi="宋体" w:eastAsia="宋体"/>
          <w:b/>
          <w:bCs/>
          <w:sz w:val="24"/>
          <w:szCs w:val="24"/>
          <w:highlight w:val="none"/>
          <w:lang w:bidi="ar"/>
        </w:rPr>
        <w:t>2位，小数点2位以后</w:t>
      </w:r>
      <w:r>
        <w:rPr>
          <w:rFonts w:hint="eastAsia" w:ascii="宋体" w:hAnsi="宋体" w:eastAsia="宋体"/>
          <w:b/>
          <w:bCs/>
          <w:sz w:val="24"/>
          <w:szCs w:val="24"/>
          <w:highlight w:val="none"/>
          <w:lang w:bidi="ar"/>
        </w:rPr>
        <w:t>四舍五入</w:t>
      </w:r>
      <w:r>
        <w:rPr>
          <w:rFonts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日）后【5</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=到期日产品可分配的总金额/产品总份额*投资者持有</w:t>
      </w:r>
      <w:r>
        <w:rPr>
          <w:rFonts w:hint="eastAsia" w:ascii="宋体" w:hAnsi="宋体" w:eastAsia="宋体"/>
          <w:sz w:val="24"/>
          <w:szCs w:val="24"/>
          <w:highlight w:val="none"/>
        </w:rPr>
        <w:t>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5</w:t>
      </w:r>
      <w:r>
        <w:rPr>
          <w:rFonts w:ascii="宋体" w:hAnsi="宋体" w:eastAsia="宋体"/>
          <w:sz w:val="24"/>
          <w:szCs w:val="24"/>
          <w:highlight w:val="none"/>
        </w:rPr>
        <w:t>】个工作日，清算期超过【</w:t>
      </w:r>
      <w:r>
        <w:rPr>
          <w:rFonts w:hint="eastAsia" w:ascii="宋体" w:hAnsi="宋体" w:eastAsia="宋体"/>
          <w:sz w:val="24"/>
          <w:szCs w:val="24"/>
          <w:highlight w:val="none"/>
        </w:rPr>
        <w:t>5</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5</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w:t>
      </w:r>
      <w:r>
        <w:rPr>
          <w:rFonts w:hint="eastAsia" w:ascii="宋体" w:hAnsi="宋体" w:eastAsia="宋体"/>
          <w:sz w:val="24"/>
          <w:szCs w:val="24"/>
          <w:highlight w:val="none"/>
        </w:rPr>
        <w:t>/申</w:t>
      </w:r>
      <w:r>
        <w:rPr>
          <w:rFonts w:ascii="宋体" w:hAnsi="宋体" w:eastAsia="宋体"/>
          <w:sz w:val="24"/>
          <w:szCs w:val="24"/>
          <w:highlight w:val="none"/>
        </w:rPr>
        <w:t>购规模上限、认</w:t>
      </w:r>
      <w:r>
        <w:rPr>
          <w:rFonts w:hint="eastAsia" w:ascii="宋体" w:hAnsi="宋体" w:eastAsia="宋体"/>
          <w:sz w:val="24"/>
          <w:szCs w:val="24"/>
          <w:highlight w:val="none"/>
        </w:rPr>
        <w:t>/申</w:t>
      </w:r>
      <w:r>
        <w:rPr>
          <w:rFonts w:ascii="宋体" w:hAnsi="宋体" w:eastAsia="宋体"/>
          <w:sz w:val="24"/>
          <w:szCs w:val="24"/>
          <w:highlight w:val="none"/>
        </w:rPr>
        <w:t>购起点、认</w:t>
      </w:r>
      <w:r>
        <w:rPr>
          <w:rFonts w:hint="eastAsia" w:ascii="宋体" w:hAnsi="宋体" w:eastAsia="宋体"/>
          <w:sz w:val="24"/>
          <w:szCs w:val="24"/>
          <w:highlight w:val="none"/>
        </w:rPr>
        <w:t>/申</w:t>
      </w:r>
      <w:r>
        <w:rPr>
          <w:rFonts w:ascii="宋体" w:hAnsi="宋体" w:eastAsia="宋体"/>
          <w:sz w:val="24"/>
          <w:szCs w:val="24"/>
          <w:highlight w:val="none"/>
        </w:rPr>
        <w:t>购金额上限、</w:t>
      </w:r>
      <w:r>
        <w:rPr>
          <w:rFonts w:hint="eastAsia" w:ascii="宋体" w:hAnsi="宋体" w:eastAsia="宋体"/>
          <w:sz w:val="24"/>
          <w:szCs w:val="24"/>
          <w:highlight w:val="none"/>
        </w:rPr>
        <w:t>认/申购资金的最低金额、单笔认/申购上限等要素。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本理财产品的托管人为渤海银行股份有限公司，地址为天津市海河东路218号渤海银行大厦，托管人主要职责为提供包括账户开立、资金保管、资金清算、估值核算等理财产品托管服务。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内蒙古银行股份有限公司，住所：呼和浩特市赛罕区腾飞南路33号，客户服务热线：40005-96019。</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rPr>
        <w:t>上海浦东发展银行股份有限公司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住所：上海市中山东一路12号，客户服务热线：95528。</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重庆富民银行股份有限公司，住所：重庆市渝北区财富东路2号涉外商务区一期B1栋，客户服务热线：956118。</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lang w:eastAsia="zh-CN"/>
        </w:rPr>
        <w:t>渤海银行</w:t>
      </w:r>
      <w:r>
        <w:rPr>
          <w:rFonts w:hint="eastAsia" w:ascii="宋体" w:hAnsi="宋体" w:eastAsia="宋体"/>
          <w:sz w:val="24"/>
          <w:szCs w:val="24"/>
          <w:highlight w:val="none"/>
        </w:rPr>
        <w:t>股份有限公司，住所：</w:t>
      </w:r>
      <w:r>
        <w:rPr>
          <w:rFonts w:hint="eastAsia" w:ascii="宋体" w:hAnsi="宋体" w:eastAsia="宋体"/>
          <w:sz w:val="24"/>
          <w:szCs w:val="24"/>
          <w:highlight w:val="none"/>
          <w:lang w:val="en-US" w:eastAsia="zh-CN"/>
        </w:rPr>
        <w:t>天津市海河东路218号渤海银行大厦</w:t>
      </w:r>
      <w:r>
        <w:rPr>
          <w:rFonts w:hint="eastAsia" w:ascii="宋体" w:hAnsi="宋体" w:eastAsia="宋体"/>
          <w:sz w:val="24"/>
          <w:szCs w:val="24"/>
          <w:highlight w:val="none"/>
        </w:rPr>
        <w:t>，客户服务热线：</w:t>
      </w:r>
      <w:r>
        <w:rPr>
          <w:rFonts w:hint="eastAsia" w:ascii="宋体" w:hAnsi="宋体" w:eastAsia="宋体" w:cstheme="minorBidi"/>
          <w:i w:val="0"/>
          <w:iCs w:val="0"/>
          <w:kern w:val="2"/>
          <w:sz w:val="24"/>
          <w:szCs w:val="24"/>
          <w:highlight w:val="none"/>
          <w:u w:val="none"/>
          <w:lang w:val="en-US" w:eastAsia="zh-CN" w:bidi="ar"/>
        </w:rPr>
        <w:t>95541</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cstheme="minorBidi"/>
          <w:sz w:val="24"/>
          <w:szCs w:val="24"/>
          <w:highlight w:val="none"/>
          <w:lang w:val="en-US" w:eastAsia="zh-CN"/>
        </w:rPr>
        <w:t>广东华润银行股份有限公司</w:t>
      </w:r>
      <w:r>
        <w:rPr>
          <w:rFonts w:hint="eastAsia" w:ascii="宋体" w:hAnsi="宋体" w:eastAsia="宋体"/>
          <w:sz w:val="24"/>
          <w:szCs w:val="24"/>
          <w:highlight w:val="none"/>
        </w:rPr>
        <w:t>，住所：</w:t>
      </w:r>
      <w:r>
        <w:rPr>
          <w:rFonts w:hint="eastAsia" w:ascii="宋体" w:hAnsi="宋体" w:eastAsia="宋体"/>
          <w:sz w:val="24"/>
          <w:szCs w:val="24"/>
          <w:highlight w:val="none"/>
          <w:lang w:eastAsia="zh-CN"/>
        </w:rPr>
        <w:t>珠海市高新区北城东三路</w:t>
      </w:r>
      <w:r>
        <w:rPr>
          <w:rFonts w:hint="eastAsia" w:ascii="宋体" w:hAnsi="宋体" w:eastAsia="宋体"/>
          <w:sz w:val="24"/>
          <w:szCs w:val="24"/>
          <w:highlight w:val="none"/>
          <w:lang w:val="en-US" w:eastAsia="zh-CN"/>
        </w:rPr>
        <w:t>88号珠海华润银行大厦</w:t>
      </w:r>
      <w:r>
        <w:rPr>
          <w:rFonts w:hint="eastAsia" w:ascii="宋体" w:hAnsi="宋体" w:eastAsia="宋体"/>
          <w:sz w:val="24"/>
          <w:szCs w:val="24"/>
          <w:highlight w:val="none"/>
        </w:rPr>
        <w:t>，客户服务热线：</w:t>
      </w:r>
      <w:r>
        <w:rPr>
          <w:rFonts w:hint="eastAsia" w:ascii="宋体" w:hAnsi="宋体" w:eastAsia="宋体"/>
          <w:sz w:val="24"/>
          <w:szCs w:val="24"/>
          <w:highlight w:val="none"/>
          <w:lang w:val="en-US" w:eastAsia="zh-CN"/>
        </w:rPr>
        <w:t>0756-96588</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渤银理财有限责任公司，</w:t>
      </w:r>
      <w:r>
        <w:rPr>
          <w:rFonts w:hint="eastAsia" w:ascii="宋体" w:hAnsi="宋体" w:eastAsia="宋体"/>
          <w:sz w:val="24"/>
          <w:szCs w:val="24"/>
          <w:highlight w:val="none"/>
        </w:rPr>
        <w:t>住所：天津市河东区八纬路219号中建中心6层局部和8-10层</w:t>
      </w:r>
      <w:r>
        <w:rPr>
          <w:rFonts w:hint="eastAsia" w:ascii="宋体" w:hAnsi="宋体" w:eastAsia="宋体"/>
          <w:sz w:val="24"/>
          <w:szCs w:val="24"/>
          <w:highlight w:val="none"/>
          <w:lang w:eastAsia="zh-CN"/>
        </w:rPr>
        <w:t>，</w:t>
      </w:r>
      <w:r>
        <w:rPr>
          <w:rFonts w:hint="eastAsia" w:ascii="宋体" w:hAnsi="宋体" w:eastAsia="宋体"/>
          <w:sz w:val="24"/>
          <w:szCs w:val="24"/>
          <w:highlight w:val="none"/>
        </w:rPr>
        <w:t>客户服务热线：022-58065621</w:t>
      </w:r>
      <w:r>
        <w:rPr>
          <w:rFonts w:hint="eastAsia" w:ascii="宋体" w:hAnsi="宋体" w:eastAsia="宋体" w:cstheme="minorBidi"/>
          <w:i w:val="0"/>
          <w:iCs w:val="0"/>
          <w:caps w:val="0"/>
          <w:color w:val="auto"/>
          <w:spacing w:val="0"/>
          <w:sz w:val="24"/>
          <w:szCs w:val="24"/>
          <w:highlight w:val="none"/>
        </w:rPr>
        <w:t>（工作日8:30-17:30）</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如有新增销售服务机构，以管理人公告为准。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本产品估值日为自产品成立日后至到期日（不含）的每个交易日，根据产品持有的资产价格变化对估值日产品进行估值并于估值日的后2</w:t>
      </w:r>
      <w:r>
        <w:rPr>
          <w:rFonts w:ascii="宋体" w:hAnsi="宋体" w:eastAsia="宋体"/>
          <w:sz w:val="24"/>
          <w:szCs w:val="24"/>
          <w:highlight w:val="none"/>
        </w:rPr>
        <w:t>个工作日内进行披露。</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每个季度结束之日起</w:t>
      </w:r>
      <w:r>
        <w:rPr>
          <w:rFonts w:ascii="宋体" w:hAnsi="宋体" w:eastAsia="宋体"/>
          <w:sz w:val="24"/>
          <w:szCs w:val="24"/>
          <w:highlight w:val="none"/>
        </w:rPr>
        <w:t>15个工作日内，上半年结束之日起60个工作日内，每年结束之日起90个工作日内编制完成产品的季度报告、半年报告及年度报告。本产品管理人</w:t>
      </w:r>
      <w:r>
        <w:rPr>
          <w:rFonts w:hint="eastAsia" w:ascii="宋体" w:hAnsi="宋体" w:eastAsia="宋体"/>
          <w:sz w:val="24"/>
          <w:szCs w:val="24"/>
          <w:highlight w:val="none"/>
        </w:rPr>
        <w:t>将在定期报告中披露本理财产品在季度、半年和年度最后一个交易日的理财产品资产净值等信息。</w:t>
      </w:r>
      <w:r>
        <w:rPr>
          <w:rFonts w:ascii="宋体" w:hAnsi="宋体" w:eastAsia="宋体"/>
          <w:sz w:val="24"/>
          <w:szCs w:val="24"/>
          <w:highlight w:val="none"/>
        </w:rPr>
        <w:t>逢半年末，当季季度报告合并入半年报告；逢年末，半年度报告合并入年度报告；理财产品成立不足90个工作日或者剩余存续期不超过90个工作日的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w:t>
      </w:r>
      <w:r>
        <w:rPr>
          <w:rFonts w:hint="eastAsia" w:ascii="宋体" w:hAnsi="宋体" w:eastAsia="宋体"/>
          <w:sz w:val="24"/>
          <w:szCs w:val="24"/>
          <w:highlight w:val="none"/>
        </w:rPr>
        <w:t>/申</w:t>
      </w:r>
      <w:r>
        <w:rPr>
          <w:rFonts w:ascii="宋体" w:hAnsi="宋体" w:eastAsia="宋体"/>
          <w:sz w:val="24"/>
          <w:szCs w:val="24"/>
          <w:highlight w:val="none"/>
        </w:rPr>
        <w:t>购申请、</w:t>
      </w:r>
      <w:r>
        <w:rPr>
          <w:rFonts w:hint="eastAsia" w:ascii="宋体" w:hAnsi="宋体" w:eastAsia="宋体"/>
          <w:sz w:val="24"/>
          <w:szCs w:val="24"/>
          <w:highlight w:val="none"/>
        </w:rPr>
        <w:t>延期办理巨额赎回申请、暂停接受赎回申请、延缓支付赎回款项、</w:t>
      </w:r>
      <w:r>
        <w:rPr>
          <w:rFonts w:ascii="宋体" w:hAnsi="宋体" w:eastAsia="宋体"/>
          <w:sz w:val="24"/>
          <w:szCs w:val="24"/>
          <w:highlight w:val="none"/>
        </w:rPr>
        <w:t>暂停理财产品估值等措施后，3个交易日内告知投资者，并说明运用相关措施的原因、拟采取的应对安排等。在发生涉及理财产品认购事项调整时，及时发布临时公告。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sectPr>
      <w:headerReference r:id="rId3" w:type="default"/>
      <w:footerReference r:id="rId4" w:type="default"/>
      <w:type w:val="continuous"/>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1"/>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901CA75C"/>
    <w:multiLevelType w:val="singleLevel"/>
    <w:tmpl w:val="901CA75C"/>
    <w:lvl w:ilvl="0" w:tentative="0">
      <w:start w:val="4"/>
      <w:numFmt w:val="decimal"/>
      <w:suff w:val="nothing"/>
      <w:lvlText w:val="（%1）"/>
      <w:lvlJc w:val="left"/>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3C75ABA"/>
    <w:multiLevelType w:val="singleLevel"/>
    <w:tmpl w:val="63C75ABA"/>
    <w:lvl w:ilvl="0" w:tentative="0">
      <w:start w:val="1"/>
      <w:numFmt w:val="decimal"/>
      <w:suff w:val="nothing"/>
      <w:lvlText w:val="（%1）"/>
      <w:lvlJc w:val="left"/>
    </w:lvl>
  </w:abstractNum>
  <w:abstractNum w:abstractNumId="8">
    <w:nsid w:val="63C75ADF"/>
    <w:multiLevelType w:val="singleLevel"/>
    <w:tmpl w:val="63C75ADF"/>
    <w:lvl w:ilvl="0" w:tentative="0">
      <w:start w:val="2"/>
      <w:numFmt w:val="decimal"/>
      <w:suff w:val="nothing"/>
      <w:lvlText w:val="%1）"/>
      <w:lvlJc w:val="left"/>
    </w:lvl>
  </w:abstractNum>
  <w:abstractNum w:abstractNumId="9">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9"/>
  </w:num>
  <w:num w:numId="5">
    <w:abstractNumId w:val="5"/>
  </w:num>
  <w:num w:numId="6">
    <w:abstractNumId w:val="0"/>
  </w:num>
  <w:num w:numId="7">
    <w:abstractNumId w:val="1"/>
  </w:num>
  <w:num w:numId="8">
    <w:abstractNumId w:val="7"/>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iODI4OTlkNWI3ZGMyMTI4M2FjZjI0ZjQ4ZWY2ZjcifQ=="/>
  </w:docVars>
  <w:rsids>
    <w:rsidRoot w:val="45EB34C4"/>
    <w:rsid w:val="000035A3"/>
    <w:rsid w:val="00006524"/>
    <w:rsid w:val="0001112B"/>
    <w:rsid w:val="00024CA9"/>
    <w:rsid w:val="00032C9C"/>
    <w:rsid w:val="00036E72"/>
    <w:rsid w:val="00060631"/>
    <w:rsid w:val="00061613"/>
    <w:rsid w:val="000645E4"/>
    <w:rsid w:val="00066C66"/>
    <w:rsid w:val="00087F8C"/>
    <w:rsid w:val="000A69DE"/>
    <w:rsid w:val="000B4D75"/>
    <w:rsid w:val="000C0E42"/>
    <w:rsid w:val="000D10C8"/>
    <w:rsid w:val="000E074E"/>
    <w:rsid w:val="000E25F1"/>
    <w:rsid w:val="000E5C50"/>
    <w:rsid w:val="000E7773"/>
    <w:rsid w:val="000F0D96"/>
    <w:rsid w:val="000F6272"/>
    <w:rsid w:val="00103833"/>
    <w:rsid w:val="00110210"/>
    <w:rsid w:val="00124E2B"/>
    <w:rsid w:val="0012707B"/>
    <w:rsid w:val="001421F8"/>
    <w:rsid w:val="00147E19"/>
    <w:rsid w:val="00150844"/>
    <w:rsid w:val="00163B7B"/>
    <w:rsid w:val="001807C3"/>
    <w:rsid w:val="00185F7A"/>
    <w:rsid w:val="00195677"/>
    <w:rsid w:val="001959AE"/>
    <w:rsid w:val="001A06FF"/>
    <w:rsid w:val="001A3EF5"/>
    <w:rsid w:val="001B21E7"/>
    <w:rsid w:val="001C1444"/>
    <w:rsid w:val="001E028A"/>
    <w:rsid w:val="001E1AF9"/>
    <w:rsid w:val="001F70D3"/>
    <w:rsid w:val="0021517C"/>
    <w:rsid w:val="002154F6"/>
    <w:rsid w:val="00217A1B"/>
    <w:rsid w:val="002321DC"/>
    <w:rsid w:val="00232691"/>
    <w:rsid w:val="0023414B"/>
    <w:rsid w:val="00234FEC"/>
    <w:rsid w:val="002625B5"/>
    <w:rsid w:val="00272F8D"/>
    <w:rsid w:val="00273D11"/>
    <w:rsid w:val="00285E2C"/>
    <w:rsid w:val="00286579"/>
    <w:rsid w:val="00291101"/>
    <w:rsid w:val="00293FC9"/>
    <w:rsid w:val="002A270F"/>
    <w:rsid w:val="002A2B42"/>
    <w:rsid w:val="002A4A21"/>
    <w:rsid w:val="002C758A"/>
    <w:rsid w:val="002D194A"/>
    <w:rsid w:val="002D3523"/>
    <w:rsid w:val="002E0872"/>
    <w:rsid w:val="002F4FF0"/>
    <w:rsid w:val="002F5161"/>
    <w:rsid w:val="00304EF1"/>
    <w:rsid w:val="00306602"/>
    <w:rsid w:val="00315230"/>
    <w:rsid w:val="00323E61"/>
    <w:rsid w:val="00337006"/>
    <w:rsid w:val="00337791"/>
    <w:rsid w:val="00345243"/>
    <w:rsid w:val="0034529F"/>
    <w:rsid w:val="0035184A"/>
    <w:rsid w:val="003A6976"/>
    <w:rsid w:val="003C0613"/>
    <w:rsid w:val="003C0CD7"/>
    <w:rsid w:val="003C437F"/>
    <w:rsid w:val="003D61BA"/>
    <w:rsid w:val="003E00C3"/>
    <w:rsid w:val="003E6814"/>
    <w:rsid w:val="00407D60"/>
    <w:rsid w:val="00415C7E"/>
    <w:rsid w:val="004225AC"/>
    <w:rsid w:val="00423C7C"/>
    <w:rsid w:val="00432667"/>
    <w:rsid w:val="0044767E"/>
    <w:rsid w:val="0045625D"/>
    <w:rsid w:val="00465DCE"/>
    <w:rsid w:val="0048653D"/>
    <w:rsid w:val="004948FE"/>
    <w:rsid w:val="00496174"/>
    <w:rsid w:val="004A1854"/>
    <w:rsid w:val="004A236F"/>
    <w:rsid w:val="004A24DE"/>
    <w:rsid w:val="004C6CAC"/>
    <w:rsid w:val="004D1068"/>
    <w:rsid w:val="004F07A5"/>
    <w:rsid w:val="004F5F9D"/>
    <w:rsid w:val="00502807"/>
    <w:rsid w:val="00502E84"/>
    <w:rsid w:val="00514F8A"/>
    <w:rsid w:val="005153AB"/>
    <w:rsid w:val="00515C52"/>
    <w:rsid w:val="00525F1E"/>
    <w:rsid w:val="00530B5B"/>
    <w:rsid w:val="0053234A"/>
    <w:rsid w:val="00534088"/>
    <w:rsid w:val="00542C95"/>
    <w:rsid w:val="005476DD"/>
    <w:rsid w:val="00567A24"/>
    <w:rsid w:val="00574352"/>
    <w:rsid w:val="00582C8E"/>
    <w:rsid w:val="00595056"/>
    <w:rsid w:val="00597626"/>
    <w:rsid w:val="005A1ABF"/>
    <w:rsid w:val="005A4FBD"/>
    <w:rsid w:val="005B2754"/>
    <w:rsid w:val="005C1438"/>
    <w:rsid w:val="005C518A"/>
    <w:rsid w:val="005D793C"/>
    <w:rsid w:val="005E089E"/>
    <w:rsid w:val="005E6937"/>
    <w:rsid w:val="005F42D8"/>
    <w:rsid w:val="00602943"/>
    <w:rsid w:val="00605862"/>
    <w:rsid w:val="00611923"/>
    <w:rsid w:val="00625BDB"/>
    <w:rsid w:val="00627B3B"/>
    <w:rsid w:val="006376F3"/>
    <w:rsid w:val="006428F4"/>
    <w:rsid w:val="00657B03"/>
    <w:rsid w:val="006657E6"/>
    <w:rsid w:val="00672892"/>
    <w:rsid w:val="006747AF"/>
    <w:rsid w:val="006760F2"/>
    <w:rsid w:val="006819D7"/>
    <w:rsid w:val="00683B72"/>
    <w:rsid w:val="0068684B"/>
    <w:rsid w:val="006A143E"/>
    <w:rsid w:val="006A20BE"/>
    <w:rsid w:val="006A6582"/>
    <w:rsid w:val="006A752D"/>
    <w:rsid w:val="006B4097"/>
    <w:rsid w:val="006B6209"/>
    <w:rsid w:val="006D4EEF"/>
    <w:rsid w:val="006E107C"/>
    <w:rsid w:val="006F47C1"/>
    <w:rsid w:val="006F60A6"/>
    <w:rsid w:val="00702580"/>
    <w:rsid w:val="00704562"/>
    <w:rsid w:val="00724287"/>
    <w:rsid w:val="00743FA5"/>
    <w:rsid w:val="00744E2D"/>
    <w:rsid w:val="007472A6"/>
    <w:rsid w:val="007519CB"/>
    <w:rsid w:val="00752553"/>
    <w:rsid w:val="007551B2"/>
    <w:rsid w:val="007559D4"/>
    <w:rsid w:val="0076037A"/>
    <w:rsid w:val="00761C97"/>
    <w:rsid w:val="00770105"/>
    <w:rsid w:val="00786181"/>
    <w:rsid w:val="007A3AE2"/>
    <w:rsid w:val="007A4879"/>
    <w:rsid w:val="007B0FDF"/>
    <w:rsid w:val="007B2E50"/>
    <w:rsid w:val="007B5637"/>
    <w:rsid w:val="007E10EE"/>
    <w:rsid w:val="007F2B6A"/>
    <w:rsid w:val="007F356D"/>
    <w:rsid w:val="00801041"/>
    <w:rsid w:val="00802662"/>
    <w:rsid w:val="00806874"/>
    <w:rsid w:val="00810521"/>
    <w:rsid w:val="00822719"/>
    <w:rsid w:val="00826B53"/>
    <w:rsid w:val="00830BF6"/>
    <w:rsid w:val="00842102"/>
    <w:rsid w:val="008519ED"/>
    <w:rsid w:val="008616C8"/>
    <w:rsid w:val="00863D8A"/>
    <w:rsid w:val="00865D84"/>
    <w:rsid w:val="008739B2"/>
    <w:rsid w:val="00876684"/>
    <w:rsid w:val="00880443"/>
    <w:rsid w:val="00886EED"/>
    <w:rsid w:val="00895667"/>
    <w:rsid w:val="008B40A4"/>
    <w:rsid w:val="008C69FC"/>
    <w:rsid w:val="008D54DA"/>
    <w:rsid w:val="008F0B03"/>
    <w:rsid w:val="00910843"/>
    <w:rsid w:val="0092237C"/>
    <w:rsid w:val="00923045"/>
    <w:rsid w:val="00936CA0"/>
    <w:rsid w:val="009374FA"/>
    <w:rsid w:val="00937CB2"/>
    <w:rsid w:val="00942924"/>
    <w:rsid w:val="00951F6E"/>
    <w:rsid w:val="00954DD2"/>
    <w:rsid w:val="00957DD5"/>
    <w:rsid w:val="009617AB"/>
    <w:rsid w:val="0097731B"/>
    <w:rsid w:val="00981774"/>
    <w:rsid w:val="009841CB"/>
    <w:rsid w:val="0099625C"/>
    <w:rsid w:val="009C55C9"/>
    <w:rsid w:val="009D6D2F"/>
    <w:rsid w:val="009E5A61"/>
    <w:rsid w:val="00A00099"/>
    <w:rsid w:val="00A038BE"/>
    <w:rsid w:val="00A1581A"/>
    <w:rsid w:val="00A30EE7"/>
    <w:rsid w:val="00A421B5"/>
    <w:rsid w:val="00A47D8C"/>
    <w:rsid w:val="00A52807"/>
    <w:rsid w:val="00A84465"/>
    <w:rsid w:val="00A845A7"/>
    <w:rsid w:val="00A916B7"/>
    <w:rsid w:val="00A91C60"/>
    <w:rsid w:val="00A9432D"/>
    <w:rsid w:val="00A95F46"/>
    <w:rsid w:val="00A97EAB"/>
    <w:rsid w:val="00AD4EFF"/>
    <w:rsid w:val="00AF6071"/>
    <w:rsid w:val="00B11174"/>
    <w:rsid w:val="00B40FAE"/>
    <w:rsid w:val="00B44BE6"/>
    <w:rsid w:val="00B47E14"/>
    <w:rsid w:val="00B508C1"/>
    <w:rsid w:val="00B57745"/>
    <w:rsid w:val="00B67155"/>
    <w:rsid w:val="00B72E34"/>
    <w:rsid w:val="00B90DA9"/>
    <w:rsid w:val="00B910EC"/>
    <w:rsid w:val="00BA077E"/>
    <w:rsid w:val="00BA71F0"/>
    <w:rsid w:val="00BB2A3C"/>
    <w:rsid w:val="00BC1A16"/>
    <w:rsid w:val="00BC7B12"/>
    <w:rsid w:val="00BC7FF6"/>
    <w:rsid w:val="00BD4BBA"/>
    <w:rsid w:val="00BE46E6"/>
    <w:rsid w:val="00BE7624"/>
    <w:rsid w:val="00BF175D"/>
    <w:rsid w:val="00BF73F5"/>
    <w:rsid w:val="00C00F56"/>
    <w:rsid w:val="00C13F12"/>
    <w:rsid w:val="00C1602F"/>
    <w:rsid w:val="00C24BBE"/>
    <w:rsid w:val="00C34756"/>
    <w:rsid w:val="00C43D86"/>
    <w:rsid w:val="00C44A92"/>
    <w:rsid w:val="00C5175D"/>
    <w:rsid w:val="00C53692"/>
    <w:rsid w:val="00C66903"/>
    <w:rsid w:val="00C66FFE"/>
    <w:rsid w:val="00C83FE0"/>
    <w:rsid w:val="00C85201"/>
    <w:rsid w:val="00C918BF"/>
    <w:rsid w:val="00C92C3D"/>
    <w:rsid w:val="00CB17A0"/>
    <w:rsid w:val="00CB4CCD"/>
    <w:rsid w:val="00CC3AFA"/>
    <w:rsid w:val="00CD40BE"/>
    <w:rsid w:val="00CD6285"/>
    <w:rsid w:val="00CD7962"/>
    <w:rsid w:val="00CE7029"/>
    <w:rsid w:val="00CF09F7"/>
    <w:rsid w:val="00CF19EB"/>
    <w:rsid w:val="00D12EFD"/>
    <w:rsid w:val="00D1596F"/>
    <w:rsid w:val="00D3368C"/>
    <w:rsid w:val="00D4199C"/>
    <w:rsid w:val="00D450D3"/>
    <w:rsid w:val="00D509F2"/>
    <w:rsid w:val="00D51C1B"/>
    <w:rsid w:val="00D62E7B"/>
    <w:rsid w:val="00D7058A"/>
    <w:rsid w:val="00D779BC"/>
    <w:rsid w:val="00D77C56"/>
    <w:rsid w:val="00D851F9"/>
    <w:rsid w:val="00DA3C75"/>
    <w:rsid w:val="00DB4447"/>
    <w:rsid w:val="00DC3645"/>
    <w:rsid w:val="00DD3F60"/>
    <w:rsid w:val="00DD6EEF"/>
    <w:rsid w:val="00DE03D4"/>
    <w:rsid w:val="00DE22CB"/>
    <w:rsid w:val="00DE3CCF"/>
    <w:rsid w:val="00DE4D92"/>
    <w:rsid w:val="00DF4FF1"/>
    <w:rsid w:val="00E07DC8"/>
    <w:rsid w:val="00E176A4"/>
    <w:rsid w:val="00E239F1"/>
    <w:rsid w:val="00E35E1E"/>
    <w:rsid w:val="00E3707F"/>
    <w:rsid w:val="00E414D0"/>
    <w:rsid w:val="00E44E52"/>
    <w:rsid w:val="00E5533B"/>
    <w:rsid w:val="00E60B89"/>
    <w:rsid w:val="00E61653"/>
    <w:rsid w:val="00E9119D"/>
    <w:rsid w:val="00EA4A18"/>
    <w:rsid w:val="00EB1E1E"/>
    <w:rsid w:val="00EB2749"/>
    <w:rsid w:val="00EB556C"/>
    <w:rsid w:val="00EC03CA"/>
    <w:rsid w:val="00EC2B1B"/>
    <w:rsid w:val="00EC337B"/>
    <w:rsid w:val="00EC6E17"/>
    <w:rsid w:val="00EF5689"/>
    <w:rsid w:val="00F1681B"/>
    <w:rsid w:val="00F25332"/>
    <w:rsid w:val="00F354C2"/>
    <w:rsid w:val="00F35952"/>
    <w:rsid w:val="00F74E5E"/>
    <w:rsid w:val="00FA7E65"/>
    <w:rsid w:val="00FB63D5"/>
    <w:rsid w:val="00FC04B9"/>
    <w:rsid w:val="00FC1B19"/>
    <w:rsid w:val="00FC38C1"/>
    <w:rsid w:val="00FD0D7E"/>
    <w:rsid w:val="00FD3851"/>
    <w:rsid w:val="00FD65C7"/>
    <w:rsid w:val="00FE188F"/>
    <w:rsid w:val="00FF1FAB"/>
    <w:rsid w:val="00FF7065"/>
    <w:rsid w:val="013A07AC"/>
    <w:rsid w:val="01B55B89"/>
    <w:rsid w:val="01CC68D5"/>
    <w:rsid w:val="01FE50BC"/>
    <w:rsid w:val="02300265"/>
    <w:rsid w:val="02377367"/>
    <w:rsid w:val="02536EB3"/>
    <w:rsid w:val="027628C1"/>
    <w:rsid w:val="02E65CAB"/>
    <w:rsid w:val="031F6588"/>
    <w:rsid w:val="032125FF"/>
    <w:rsid w:val="032E18D0"/>
    <w:rsid w:val="033011B9"/>
    <w:rsid w:val="03542B62"/>
    <w:rsid w:val="03993696"/>
    <w:rsid w:val="03A34738"/>
    <w:rsid w:val="03BF2C0B"/>
    <w:rsid w:val="03D6609D"/>
    <w:rsid w:val="04E93371"/>
    <w:rsid w:val="05181349"/>
    <w:rsid w:val="055B7332"/>
    <w:rsid w:val="05AF7B68"/>
    <w:rsid w:val="05BE29A4"/>
    <w:rsid w:val="05F00BCD"/>
    <w:rsid w:val="06035414"/>
    <w:rsid w:val="06040F9A"/>
    <w:rsid w:val="062B4B0A"/>
    <w:rsid w:val="063C3FE7"/>
    <w:rsid w:val="064A1777"/>
    <w:rsid w:val="0675224B"/>
    <w:rsid w:val="067B28EF"/>
    <w:rsid w:val="067E3EB5"/>
    <w:rsid w:val="06CD4B74"/>
    <w:rsid w:val="072314C0"/>
    <w:rsid w:val="074D4BD8"/>
    <w:rsid w:val="077547A1"/>
    <w:rsid w:val="078411C8"/>
    <w:rsid w:val="079E00C6"/>
    <w:rsid w:val="07A42E2C"/>
    <w:rsid w:val="07B363A1"/>
    <w:rsid w:val="07ED7261"/>
    <w:rsid w:val="087D641E"/>
    <w:rsid w:val="089A34C4"/>
    <w:rsid w:val="08A07369"/>
    <w:rsid w:val="08D67DE6"/>
    <w:rsid w:val="08F97F4E"/>
    <w:rsid w:val="091B36AE"/>
    <w:rsid w:val="098C148C"/>
    <w:rsid w:val="09EA1F2A"/>
    <w:rsid w:val="0A0134D2"/>
    <w:rsid w:val="0A2850F6"/>
    <w:rsid w:val="0A4A3AE2"/>
    <w:rsid w:val="0A6B190B"/>
    <w:rsid w:val="0A9C5B25"/>
    <w:rsid w:val="0AC35E88"/>
    <w:rsid w:val="0B3B3C49"/>
    <w:rsid w:val="0B552CB2"/>
    <w:rsid w:val="0B66661D"/>
    <w:rsid w:val="0B7877C8"/>
    <w:rsid w:val="0BC62F1C"/>
    <w:rsid w:val="0BE97A81"/>
    <w:rsid w:val="0C576560"/>
    <w:rsid w:val="0C8C10AF"/>
    <w:rsid w:val="0C933759"/>
    <w:rsid w:val="0CB3034F"/>
    <w:rsid w:val="0CC2548F"/>
    <w:rsid w:val="0D9E5BE6"/>
    <w:rsid w:val="0DB15E2F"/>
    <w:rsid w:val="0DE03441"/>
    <w:rsid w:val="0E204084"/>
    <w:rsid w:val="0ECC0D8A"/>
    <w:rsid w:val="0EE70D61"/>
    <w:rsid w:val="0F631318"/>
    <w:rsid w:val="0FA5251B"/>
    <w:rsid w:val="0FB8513C"/>
    <w:rsid w:val="0FBA092F"/>
    <w:rsid w:val="0FBC7FE4"/>
    <w:rsid w:val="103E6C0E"/>
    <w:rsid w:val="106B20EB"/>
    <w:rsid w:val="108D4479"/>
    <w:rsid w:val="10925A19"/>
    <w:rsid w:val="10AD75EF"/>
    <w:rsid w:val="10F42301"/>
    <w:rsid w:val="1150266C"/>
    <w:rsid w:val="118D5786"/>
    <w:rsid w:val="12527021"/>
    <w:rsid w:val="126A20AC"/>
    <w:rsid w:val="12907E1F"/>
    <w:rsid w:val="12F03A8D"/>
    <w:rsid w:val="137B6010"/>
    <w:rsid w:val="13CD4BF1"/>
    <w:rsid w:val="13F34CA7"/>
    <w:rsid w:val="14087139"/>
    <w:rsid w:val="14391C5C"/>
    <w:rsid w:val="14694151"/>
    <w:rsid w:val="146A6846"/>
    <w:rsid w:val="14864269"/>
    <w:rsid w:val="149013EC"/>
    <w:rsid w:val="152A2FC9"/>
    <w:rsid w:val="153D6DEC"/>
    <w:rsid w:val="159E5897"/>
    <w:rsid w:val="1617420C"/>
    <w:rsid w:val="163070EE"/>
    <w:rsid w:val="16362C2D"/>
    <w:rsid w:val="167A67DF"/>
    <w:rsid w:val="169D49D1"/>
    <w:rsid w:val="16F53929"/>
    <w:rsid w:val="176F4079"/>
    <w:rsid w:val="177F4193"/>
    <w:rsid w:val="17BE51E8"/>
    <w:rsid w:val="186E5D8B"/>
    <w:rsid w:val="188075F1"/>
    <w:rsid w:val="18BC72C8"/>
    <w:rsid w:val="18F60A16"/>
    <w:rsid w:val="194A19B6"/>
    <w:rsid w:val="19F81BC6"/>
    <w:rsid w:val="1A5B3DAB"/>
    <w:rsid w:val="1AF12911"/>
    <w:rsid w:val="1B4936D1"/>
    <w:rsid w:val="1BA71B66"/>
    <w:rsid w:val="1BD20FDF"/>
    <w:rsid w:val="1C2C60FF"/>
    <w:rsid w:val="1C3950EF"/>
    <w:rsid w:val="1C516DE1"/>
    <w:rsid w:val="1D1539F9"/>
    <w:rsid w:val="1D3E52D1"/>
    <w:rsid w:val="1D3F2331"/>
    <w:rsid w:val="1D60611F"/>
    <w:rsid w:val="1D6B54AE"/>
    <w:rsid w:val="1E030DC8"/>
    <w:rsid w:val="1E352383"/>
    <w:rsid w:val="1E413716"/>
    <w:rsid w:val="1E521BF4"/>
    <w:rsid w:val="1F014117"/>
    <w:rsid w:val="1F9C2A0F"/>
    <w:rsid w:val="1FCE7AF3"/>
    <w:rsid w:val="1FD51345"/>
    <w:rsid w:val="1FF47788"/>
    <w:rsid w:val="2060339D"/>
    <w:rsid w:val="206904BF"/>
    <w:rsid w:val="210B020D"/>
    <w:rsid w:val="21264EDF"/>
    <w:rsid w:val="21A842C7"/>
    <w:rsid w:val="21B53BFF"/>
    <w:rsid w:val="21B948C1"/>
    <w:rsid w:val="21C959D5"/>
    <w:rsid w:val="21EB48C3"/>
    <w:rsid w:val="2252490D"/>
    <w:rsid w:val="225A3BED"/>
    <w:rsid w:val="227809D0"/>
    <w:rsid w:val="22D44351"/>
    <w:rsid w:val="2308324D"/>
    <w:rsid w:val="23361551"/>
    <w:rsid w:val="234A3832"/>
    <w:rsid w:val="23553444"/>
    <w:rsid w:val="23E33E97"/>
    <w:rsid w:val="23EF74E8"/>
    <w:rsid w:val="245A4B65"/>
    <w:rsid w:val="24A3232E"/>
    <w:rsid w:val="24D9132F"/>
    <w:rsid w:val="2540053D"/>
    <w:rsid w:val="254861BA"/>
    <w:rsid w:val="25572EC0"/>
    <w:rsid w:val="25583F8F"/>
    <w:rsid w:val="25BE790E"/>
    <w:rsid w:val="25CF5599"/>
    <w:rsid w:val="260B5408"/>
    <w:rsid w:val="26596DA2"/>
    <w:rsid w:val="27055672"/>
    <w:rsid w:val="276D47EC"/>
    <w:rsid w:val="27A53E9F"/>
    <w:rsid w:val="27AE3794"/>
    <w:rsid w:val="27FB0559"/>
    <w:rsid w:val="293911B4"/>
    <w:rsid w:val="296C6E71"/>
    <w:rsid w:val="298D1D5A"/>
    <w:rsid w:val="29A55AC6"/>
    <w:rsid w:val="29F32949"/>
    <w:rsid w:val="2A102E33"/>
    <w:rsid w:val="2A14318A"/>
    <w:rsid w:val="2A903B65"/>
    <w:rsid w:val="2AE835BC"/>
    <w:rsid w:val="2B4F3A96"/>
    <w:rsid w:val="2C763105"/>
    <w:rsid w:val="2C871C77"/>
    <w:rsid w:val="2C934F3A"/>
    <w:rsid w:val="2C9D73E4"/>
    <w:rsid w:val="2CA32A24"/>
    <w:rsid w:val="2CD4437F"/>
    <w:rsid w:val="2CE0580D"/>
    <w:rsid w:val="2D5C6165"/>
    <w:rsid w:val="2D95431B"/>
    <w:rsid w:val="2D9D23B7"/>
    <w:rsid w:val="2DA53D49"/>
    <w:rsid w:val="2DDD46D7"/>
    <w:rsid w:val="2E0715EA"/>
    <w:rsid w:val="2E710F25"/>
    <w:rsid w:val="2E7B4F5C"/>
    <w:rsid w:val="2F43443B"/>
    <w:rsid w:val="2F504A9E"/>
    <w:rsid w:val="2F717EA7"/>
    <w:rsid w:val="2F7C1090"/>
    <w:rsid w:val="2FB0199E"/>
    <w:rsid w:val="2FBF6F5E"/>
    <w:rsid w:val="305B3C7D"/>
    <w:rsid w:val="306A79DD"/>
    <w:rsid w:val="30820253"/>
    <w:rsid w:val="30A0380E"/>
    <w:rsid w:val="30C21AC9"/>
    <w:rsid w:val="30DE2F41"/>
    <w:rsid w:val="30E54651"/>
    <w:rsid w:val="313F2733"/>
    <w:rsid w:val="314544DD"/>
    <w:rsid w:val="314A3D5B"/>
    <w:rsid w:val="316B25B6"/>
    <w:rsid w:val="31855E3D"/>
    <w:rsid w:val="31911E35"/>
    <w:rsid w:val="31927D00"/>
    <w:rsid w:val="319C4144"/>
    <w:rsid w:val="32536E98"/>
    <w:rsid w:val="326070A1"/>
    <w:rsid w:val="32B80440"/>
    <w:rsid w:val="32EC1E51"/>
    <w:rsid w:val="3332690B"/>
    <w:rsid w:val="334457E6"/>
    <w:rsid w:val="34025454"/>
    <w:rsid w:val="34982340"/>
    <w:rsid w:val="34BA214A"/>
    <w:rsid w:val="34D96E0E"/>
    <w:rsid w:val="34E058A4"/>
    <w:rsid w:val="3517466A"/>
    <w:rsid w:val="3541567F"/>
    <w:rsid w:val="35561891"/>
    <w:rsid w:val="35C42453"/>
    <w:rsid w:val="363C10A8"/>
    <w:rsid w:val="3649547D"/>
    <w:rsid w:val="36745C03"/>
    <w:rsid w:val="36BD4AB8"/>
    <w:rsid w:val="36ED3C18"/>
    <w:rsid w:val="37492D4C"/>
    <w:rsid w:val="378B661D"/>
    <w:rsid w:val="37CF70A9"/>
    <w:rsid w:val="380776D4"/>
    <w:rsid w:val="38B707F1"/>
    <w:rsid w:val="38C62479"/>
    <w:rsid w:val="39267194"/>
    <w:rsid w:val="39897BF7"/>
    <w:rsid w:val="39CB465D"/>
    <w:rsid w:val="39D22E88"/>
    <w:rsid w:val="3A13730E"/>
    <w:rsid w:val="3A2200A7"/>
    <w:rsid w:val="3AD16475"/>
    <w:rsid w:val="3AE81C1E"/>
    <w:rsid w:val="3AF74B45"/>
    <w:rsid w:val="3BB6395F"/>
    <w:rsid w:val="3C083117"/>
    <w:rsid w:val="3C27601C"/>
    <w:rsid w:val="3C540446"/>
    <w:rsid w:val="3CBF57D4"/>
    <w:rsid w:val="3CEE5D90"/>
    <w:rsid w:val="3D2A07D7"/>
    <w:rsid w:val="3D8E5F6C"/>
    <w:rsid w:val="3DC9235F"/>
    <w:rsid w:val="3E045955"/>
    <w:rsid w:val="3E2928AA"/>
    <w:rsid w:val="3E7C30D1"/>
    <w:rsid w:val="3EC373AA"/>
    <w:rsid w:val="405139D2"/>
    <w:rsid w:val="40774519"/>
    <w:rsid w:val="407D6385"/>
    <w:rsid w:val="4084568B"/>
    <w:rsid w:val="41451DE3"/>
    <w:rsid w:val="421C341D"/>
    <w:rsid w:val="4226002E"/>
    <w:rsid w:val="425101DD"/>
    <w:rsid w:val="425E3CE6"/>
    <w:rsid w:val="42662B39"/>
    <w:rsid w:val="42E2671F"/>
    <w:rsid w:val="42EB1794"/>
    <w:rsid w:val="43312EC1"/>
    <w:rsid w:val="43B006A9"/>
    <w:rsid w:val="43B8687F"/>
    <w:rsid w:val="44673A6C"/>
    <w:rsid w:val="44727382"/>
    <w:rsid w:val="4488447C"/>
    <w:rsid w:val="44E05F8D"/>
    <w:rsid w:val="45A81610"/>
    <w:rsid w:val="45D21D1B"/>
    <w:rsid w:val="45EB34C4"/>
    <w:rsid w:val="463D1398"/>
    <w:rsid w:val="46467996"/>
    <w:rsid w:val="467A71E9"/>
    <w:rsid w:val="46AB085B"/>
    <w:rsid w:val="46CD5B27"/>
    <w:rsid w:val="472D4AE4"/>
    <w:rsid w:val="475A0E25"/>
    <w:rsid w:val="477433AA"/>
    <w:rsid w:val="477C767B"/>
    <w:rsid w:val="47B13336"/>
    <w:rsid w:val="47EC2593"/>
    <w:rsid w:val="481D7858"/>
    <w:rsid w:val="4844501C"/>
    <w:rsid w:val="487D0486"/>
    <w:rsid w:val="487E6827"/>
    <w:rsid w:val="488D1BB3"/>
    <w:rsid w:val="489F3B56"/>
    <w:rsid w:val="48D55C81"/>
    <w:rsid w:val="49B56187"/>
    <w:rsid w:val="4A280604"/>
    <w:rsid w:val="4AA8729E"/>
    <w:rsid w:val="4AEA731A"/>
    <w:rsid w:val="4AF56EC6"/>
    <w:rsid w:val="4B6A356B"/>
    <w:rsid w:val="4B7A572B"/>
    <w:rsid w:val="4BF547E4"/>
    <w:rsid w:val="4C452A2E"/>
    <w:rsid w:val="4C70693C"/>
    <w:rsid w:val="4C957E34"/>
    <w:rsid w:val="4C9C21E9"/>
    <w:rsid w:val="4CA73341"/>
    <w:rsid w:val="4CA74208"/>
    <w:rsid w:val="4CFD5365"/>
    <w:rsid w:val="4D0B1526"/>
    <w:rsid w:val="4DCB5250"/>
    <w:rsid w:val="4F873962"/>
    <w:rsid w:val="4F92738F"/>
    <w:rsid w:val="4FA662CE"/>
    <w:rsid w:val="4FB63CF5"/>
    <w:rsid w:val="4FC17B04"/>
    <w:rsid w:val="4FFF2B45"/>
    <w:rsid w:val="500037D4"/>
    <w:rsid w:val="50205D85"/>
    <w:rsid w:val="502305CE"/>
    <w:rsid w:val="50EB273B"/>
    <w:rsid w:val="50F87889"/>
    <w:rsid w:val="514B229E"/>
    <w:rsid w:val="517860F3"/>
    <w:rsid w:val="51860E9E"/>
    <w:rsid w:val="52955FB3"/>
    <w:rsid w:val="52F42575"/>
    <w:rsid w:val="53531B4B"/>
    <w:rsid w:val="536329BD"/>
    <w:rsid w:val="53647DA3"/>
    <w:rsid w:val="5414133C"/>
    <w:rsid w:val="54816D65"/>
    <w:rsid w:val="54BA2EAE"/>
    <w:rsid w:val="54FD5792"/>
    <w:rsid w:val="55A93686"/>
    <w:rsid w:val="55E114D5"/>
    <w:rsid w:val="564A3398"/>
    <w:rsid w:val="569C6A69"/>
    <w:rsid w:val="56C4107E"/>
    <w:rsid w:val="57045D5A"/>
    <w:rsid w:val="57A72581"/>
    <w:rsid w:val="58EC44DE"/>
    <w:rsid w:val="592120C0"/>
    <w:rsid w:val="59331502"/>
    <w:rsid w:val="594C5E66"/>
    <w:rsid w:val="599778BB"/>
    <w:rsid w:val="59E545C2"/>
    <w:rsid w:val="5A401792"/>
    <w:rsid w:val="5C1D1464"/>
    <w:rsid w:val="5C9E6A24"/>
    <w:rsid w:val="5D81625E"/>
    <w:rsid w:val="5D906BF5"/>
    <w:rsid w:val="5DB47334"/>
    <w:rsid w:val="5DC33751"/>
    <w:rsid w:val="5E172770"/>
    <w:rsid w:val="5E317753"/>
    <w:rsid w:val="5E3D0404"/>
    <w:rsid w:val="5F6E31CD"/>
    <w:rsid w:val="60286820"/>
    <w:rsid w:val="60555FE4"/>
    <w:rsid w:val="605F529C"/>
    <w:rsid w:val="60CB4152"/>
    <w:rsid w:val="60CD632C"/>
    <w:rsid w:val="60CF3E48"/>
    <w:rsid w:val="60F40A4B"/>
    <w:rsid w:val="610F0A2B"/>
    <w:rsid w:val="612C42F2"/>
    <w:rsid w:val="612E74FF"/>
    <w:rsid w:val="61427D4E"/>
    <w:rsid w:val="616C4576"/>
    <w:rsid w:val="61AE3C5C"/>
    <w:rsid w:val="61C1436C"/>
    <w:rsid w:val="61FD7C20"/>
    <w:rsid w:val="62153A13"/>
    <w:rsid w:val="62543634"/>
    <w:rsid w:val="6284234E"/>
    <w:rsid w:val="62AE1103"/>
    <w:rsid w:val="63075C78"/>
    <w:rsid w:val="63921940"/>
    <w:rsid w:val="63990AB5"/>
    <w:rsid w:val="63F27705"/>
    <w:rsid w:val="645F16B8"/>
    <w:rsid w:val="647D06BF"/>
    <w:rsid w:val="64A0181F"/>
    <w:rsid w:val="64C54636"/>
    <w:rsid w:val="650961CA"/>
    <w:rsid w:val="650A4CE3"/>
    <w:rsid w:val="652F4849"/>
    <w:rsid w:val="653B6DB7"/>
    <w:rsid w:val="657B34F3"/>
    <w:rsid w:val="65A208EF"/>
    <w:rsid w:val="65B6240C"/>
    <w:rsid w:val="65CA0FF0"/>
    <w:rsid w:val="65EE2C12"/>
    <w:rsid w:val="66787AF8"/>
    <w:rsid w:val="66C47EC6"/>
    <w:rsid w:val="66D53FEE"/>
    <w:rsid w:val="66F73C73"/>
    <w:rsid w:val="67201A40"/>
    <w:rsid w:val="679B4A1A"/>
    <w:rsid w:val="680A7425"/>
    <w:rsid w:val="68224AB7"/>
    <w:rsid w:val="68371EB1"/>
    <w:rsid w:val="685A75E8"/>
    <w:rsid w:val="68615EDB"/>
    <w:rsid w:val="68F52B6F"/>
    <w:rsid w:val="68FD24D6"/>
    <w:rsid w:val="69017C1D"/>
    <w:rsid w:val="691A4459"/>
    <w:rsid w:val="692D0390"/>
    <w:rsid w:val="69556EB7"/>
    <w:rsid w:val="6A0551DE"/>
    <w:rsid w:val="6A103456"/>
    <w:rsid w:val="6A120D25"/>
    <w:rsid w:val="6A2A5219"/>
    <w:rsid w:val="6AF93859"/>
    <w:rsid w:val="6B005FF4"/>
    <w:rsid w:val="6B0F5C47"/>
    <w:rsid w:val="6B125020"/>
    <w:rsid w:val="6B4500D3"/>
    <w:rsid w:val="6B6F4D17"/>
    <w:rsid w:val="6BD27171"/>
    <w:rsid w:val="6BFA7F32"/>
    <w:rsid w:val="6C963BCE"/>
    <w:rsid w:val="6CF1031B"/>
    <w:rsid w:val="6D36084C"/>
    <w:rsid w:val="6D584541"/>
    <w:rsid w:val="6D6738CE"/>
    <w:rsid w:val="6DCE1423"/>
    <w:rsid w:val="6E17642D"/>
    <w:rsid w:val="6E7F31DD"/>
    <w:rsid w:val="6EB9047F"/>
    <w:rsid w:val="6EBC7625"/>
    <w:rsid w:val="6EC05DE2"/>
    <w:rsid w:val="6ED802A2"/>
    <w:rsid w:val="6F0A4E44"/>
    <w:rsid w:val="6F6C51AB"/>
    <w:rsid w:val="6F8705F8"/>
    <w:rsid w:val="6FC54D50"/>
    <w:rsid w:val="701A1470"/>
    <w:rsid w:val="70294DBE"/>
    <w:rsid w:val="70516DB9"/>
    <w:rsid w:val="70572659"/>
    <w:rsid w:val="70703409"/>
    <w:rsid w:val="70F62EA0"/>
    <w:rsid w:val="710E46EC"/>
    <w:rsid w:val="717C6EE8"/>
    <w:rsid w:val="71B37311"/>
    <w:rsid w:val="721D2A0D"/>
    <w:rsid w:val="722517F9"/>
    <w:rsid w:val="72631230"/>
    <w:rsid w:val="728523DB"/>
    <w:rsid w:val="72911A25"/>
    <w:rsid w:val="7375573E"/>
    <w:rsid w:val="73982F19"/>
    <w:rsid w:val="73B04906"/>
    <w:rsid w:val="73CB0206"/>
    <w:rsid w:val="73DD45C2"/>
    <w:rsid w:val="7421270C"/>
    <w:rsid w:val="742A058B"/>
    <w:rsid w:val="74BA419B"/>
    <w:rsid w:val="74D41120"/>
    <w:rsid w:val="74EA6C4B"/>
    <w:rsid w:val="751B464E"/>
    <w:rsid w:val="755C07D6"/>
    <w:rsid w:val="757E009D"/>
    <w:rsid w:val="75E87AC0"/>
    <w:rsid w:val="75E9475A"/>
    <w:rsid w:val="76754CBB"/>
    <w:rsid w:val="7695634D"/>
    <w:rsid w:val="76DC55E6"/>
    <w:rsid w:val="76F81FC6"/>
    <w:rsid w:val="77127EBF"/>
    <w:rsid w:val="775C04C5"/>
    <w:rsid w:val="77671988"/>
    <w:rsid w:val="77753DAA"/>
    <w:rsid w:val="77DB2ADA"/>
    <w:rsid w:val="77DD60B4"/>
    <w:rsid w:val="782A4815"/>
    <w:rsid w:val="789828EB"/>
    <w:rsid w:val="78A9770C"/>
    <w:rsid w:val="78AB11DE"/>
    <w:rsid w:val="78D72BBA"/>
    <w:rsid w:val="79036C4A"/>
    <w:rsid w:val="792403B1"/>
    <w:rsid w:val="797804DF"/>
    <w:rsid w:val="7A6A5F33"/>
    <w:rsid w:val="7A933FC1"/>
    <w:rsid w:val="7B1153C0"/>
    <w:rsid w:val="7B43173F"/>
    <w:rsid w:val="7B4A5D58"/>
    <w:rsid w:val="7B592C5C"/>
    <w:rsid w:val="7B823B87"/>
    <w:rsid w:val="7BB67956"/>
    <w:rsid w:val="7BD66ABC"/>
    <w:rsid w:val="7BE105FE"/>
    <w:rsid w:val="7C4272C0"/>
    <w:rsid w:val="7CA82D21"/>
    <w:rsid w:val="7CFA17E8"/>
    <w:rsid w:val="7D112490"/>
    <w:rsid w:val="7D255511"/>
    <w:rsid w:val="7DAD344E"/>
    <w:rsid w:val="7DD55341"/>
    <w:rsid w:val="7DFA229B"/>
    <w:rsid w:val="7E727180"/>
    <w:rsid w:val="7E8F16A4"/>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Normal.dotm</Template>
  <Pages>1</Pages>
  <Words>166496</Words>
  <Characters>170214</Characters>
  <Lines>256</Lines>
  <Paragraphs>72</Paragraphs>
  <TotalTime>1</TotalTime>
  <ScaleCrop>false</ScaleCrop>
  <LinksUpToDate>false</LinksUpToDate>
  <CharactersWithSpaces>170222</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2025-01-24T04:18:00Z</dcterms:created>
  <dc:creator>xuchen.zhang</dc:creator>
  <cp:lastModifiedBy>shuo.lian</cp:lastModifiedBy>
  <cp:lastPrinted>2025-01-24T06:56:00Z</cp:lastPrinted>
  <dcterms:modified xsi:type="dcterms:W3CDTF">2026-03-18T03:06:40Z</dcterms:modified>
  <cp:revision>216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551ECFD2FC4F4A318FB629520D1EAE1A_12</vt:lpwstr>
  </property>
</Properties>
</file>