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28"/>
          <w:szCs w:val="28"/>
          <w:highlight w:val="none"/>
        </w:rPr>
      </w:pPr>
      <w:r>
        <w:rPr>
          <w:rFonts w:hint="eastAsia" w:ascii="华文仿宋" w:hAnsi="华文仿宋" w:eastAsia="华文仿宋" w:cs="华文仿宋"/>
          <w:b/>
          <w:bCs/>
          <w:sz w:val="28"/>
          <w:szCs w:val="28"/>
          <w:highlight w:val="none"/>
        </w:rPr>
        <w:t>渤银理财理财有术系列持盈增利</w:t>
      </w:r>
      <w:r>
        <w:rPr>
          <w:rFonts w:hint="eastAsia" w:ascii="华文仿宋" w:hAnsi="华文仿宋" w:eastAsia="华文仿宋" w:cs="华文仿宋"/>
          <w:b/>
          <w:bCs/>
          <w:sz w:val="28"/>
          <w:szCs w:val="28"/>
          <w:highlight w:val="none"/>
          <w:lang w:eastAsia="zh-CN"/>
        </w:rPr>
        <w:t>30天</w:t>
      </w:r>
      <w:r>
        <w:rPr>
          <w:rFonts w:hint="eastAsia" w:ascii="华文仿宋" w:hAnsi="华文仿宋" w:eastAsia="华文仿宋" w:cs="华文仿宋"/>
          <w:b/>
          <w:bCs/>
          <w:sz w:val="28"/>
          <w:szCs w:val="28"/>
          <w:highlight w:val="none"/>
        </w:rPr>
        <w:t>最短持有期固收理财产品</w:t>
      </w:r>
      <w:r>
        <w:rPr>
          <w:rFonts w:hint="eastAsia" w:ascii="华文仿宋" w:hAnsi="华文仿宋" w:eastAsia="华文仿宋" w:cs="华文仿宋"/>
          <w:b/>
          <w:bCs/>
          <w:sz w:val="28"/>
          <w:szCs w:val="28"/>
          <w:highlight w:val="none"/>
          <w:lang w:val="en-US" w:eastAsia="zh-CN"/>
        </w:rPr>
        <w:t>5号</w:t>
      </w:r>
    </w:p>
    <w:p>
      <w:pPr>
        <w:jc w:val="center"/>
        <w:rPr>
          <w:b/>
          <w:bCs/>
          <w:sz w:val="20"/>
          <w:szCs w:val="21"/>
          <w:highlight w:val="none"/>
        </w:rPr>
      </w:pPr>
      <w:r>
        <w:rPr>
          <w:rFonts w:ascii="华文仿宋" w:hAnsi="华文仿宋" w:eastAsia="华文仿宋" w:cs="华文仿宋"/>
          <w:b/>
          <w:bCs/>
          <w:sz w:val="28"/>
          <w:szCs w:val="28"/>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将持续配合管理人或销售服务机构不时更新的措施和要求。若</w:t>
      </w:r>
      <w:r>
        <w:rPr>
          <w:rFonts w:ascii="宋体" w:hAnsi="宋体" w:eastAsia="宋体"/>
          <w:sz w:val="24"/>
          <w:szCs w:val="24"/>
          <w:highlight w:val="none"/>
        </w:rPr>
        <w:t>投资者</w:t>
      </w:r>
      <w:r>
        <w:rPr>
          <w:rFonts w:hint="eastAsia" w:ascii="宋体" w:hAnsi="宋体" w:eastAsia="宋体"/>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sz w:val="24"/>
          <w:szCs w:val="24"/>
          <w:highlight w:val="none"/>
        </w:rPr>
        <w:t>投资者</w:t>
      </w:r>
      <w:r>
        <w:rPr>
          <w:rFonts w:hint="eastAsia" w:ascii="宋体" w:hAnsi="宋体" w:eastAsia="宋体"/>
          <w:sz w:val="24"/>
          <w:szCs w:val="24"/>
          <w:highlight w:val="none"/>
        </w:rPr>
        <w:t>届时持有的理财产品而无需事先通知</w:t>
      </w:r>
      <w:r>
        <w:rPr>
          <w:rFonts w:ascii="宋体" w:hAnsi="宋体" w:eastAsia="宋体"/>
          <w:sz w:val="24"/>
          <w:szCs w:val="24"/>
          <w:highlight w:val="none"/>
        </w:rPr>
        <w:t>投资者</w:t>
      </w:r>
      <w:r>
        <w:rPr>
          <w:rFonts w:hint="eastAsia" w:ascii="宋体" w:hAnsi="宋体" w:eastAsia="宋体"/>
          <w:sz w:val="24"/>
          <w:szCs w:val="24"/>
          <w:highlight w:val="none"/>
        </w:rPr>
        <w:t>或征得</w:t>
      </w:r>
      <w:r>
        <w:rPr>
          <w:rFonts w:ascii="宋体" w:hAnsi="宋体" w:eastAsia="宋体"/>
          <w:sz w:val="24"/>
          <w:szCs w:val="24"/>
          <w:highlight w:val="none"/>
        </w:rPr>
        <w:t>投资者</w:t>
      </w:r>
      <w:r>
        <w:rPr>
          <w:rFonts w:hint="eastAsia" w:ascii="宋体" w:hAnsi="宋体" w:eastAsia="宋体"/>
          <w:sz w:val="24"/>
          <w:szCs w:val="24"/>
          <w:highlight w:val="none"/>
        </w:rPr>
        <w:t>的同意，</w:t>
      </w:r>
      <w:r>
        <w:rPr>
          <w:rFonts w:ascii="宋体" w:hAnsi="宋体" w:eastAsia="宋体"/>
          <w:sz w:val="24"/>
          <w:szCs w:val="24"/>
          <w:highlight w:val="none"/>
        </w:rPr>
        <w:t>投资者</w:t>
      </w:r>
      <w:r>
        <w:rPr>
          <w:rFonts w:hint="eastAsia" w:ascii="宋体" w:hAnsi="宋体" w:eastAsia="宋体"/>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r>
        <w:rPr>
          <w:rFonts w:hint="eastAsia" w:ascii="宋体" w:hAnsi="宋体" w:eastAsia="宋体"/>
          <w:sz w:val="24"/>
          <w:szCs w:val="24"/>
        </w:rPr>
        <w:t>；未被列入反洗钱特别预防措施名单，且不属于反洗钱特别预防措施名单中相关主体的代理人、受其指使的组织和人员、其直接或者间接控制的组织</w:t>
      </w:r>
      <w:r>
        <w:rPr>
          <w:rFonts w:hint="eastAsia" w:ascii="宋体" w:hAnsi="宋体" w:eastAsia="宋体"/>
          <w:sz w:val="24"/>
          <w:szCs w:val="24"/>
          <w:highlight w:val="none"/>
        </w:rPr>
        <w:t>。</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w:t>
      </w:r>
      <w:r>
        <w:rPr>
          <w:rFonts w:hint="eastAsia" w:ascii="宋体" w:hAnsi="宋体" w:eastAsia="宋体"/>
          <w:sz w:val="24"/>
          <w:szCs w:val="24"/>
          <w:highlight w:val="none"/>
          <w:lang w:eastAsia="zh-CN"/>
        </w:rPr>
        <w:t>30天</w:t>
      </w:r>
      <w:r>
        <w:rPr>
          <w:rFonts w:hint="eastAsia" w:ascii="宋体" w:hAnsi="宋体" w:eastAsia="宋体"/>
          <w:sz w:val="24"/>
          <w:szCs w:val="24"/>
          <w:highlight w:val="none"/>
        </w:rPr>
        <w:t>最短持有期固收</w:t>
      </w:r>
      <w:r>
        <w:rPr>
          <w:rFonts w:hint="eastAsia" w:ascii="宋体" w:hAnsi="宋体" w:eastAsia="宋体"/>
          <w:sz w:val="24"/>
          <w:szCs w:val="24"/>
          <w:highlight w:val="none"/>
          <w:lang w:eastAsia="zh-CN"/>
        </w:rPr>
        <w:t>理财产品5号</w:t>
      </w:r>
      <w:r>
        <w:rPr>
          <w:rFonts w:hint="eastAsia" w:ascii="宋体" w:hAnsi="宋体" w:eastAsia="宋体"/>
          <w:sz w:val="24"/>
          <w:szCs w:val="24"/>
          <w:highlight w:val="none"/>
        </w:rPr>
        <w:t>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产品名称：渤银理财理财有术系列持盈增利</w:t>
            </w:r>
            <w:r>
              <w:rPr>
                <w:rFonts w:hint="eastAsia" w:ascii="宋体" w:hAnsi="宋体" w:eastAsia="宋体"/>
                <w:sz w:val="24"/>
                <w:szCs w:val="24"/>
                <w:highlight w:val="none"/>
                <w:lang w:eastAsia="zh-CN"/>
              </w:rPr>
              <w:t>30天</w:t>
            </w:r>
            <w:r>
              <w:rPr>
                <w:rFonts w:hint="eastAsia" w:ascii="宋体" w:hAnsi="宋体" w:eastAsia="宋体"/>
                <w:sz w:val="24"/>
                <w:szCs w:val="24"/>
                <w:highlight w:val="none"/>
              </w:rPr>
              <w:t>最短持有期固收</w:t>
            </w:r>
            <w:r>
              <w:rPr>
                <w:rFonts w:hint="eastAsia" w:ascii="宋体" w:hAnsi="宋体" w:eastAsia="宋体"/>
                <w:sz w:val="24"/>
                <w:szCs w:val="24"/>
                <w:highlight w:val="none"/>
                <w:lang w:eastAsia="zh-CN"/>
              </w:rPr>
              <w:t>理财产品5号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LCYS30CYZ05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cs="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份额：理财有术持盈增利</w:t>
            </w:r>
            <w:r>
              <w:rPr>
                <w:rFonts w:hint="eastAsia" w:ascii="宋体" w:hAnsi="宋体" w:eastAsia="宋体" w:cs="宋体"/>
                <w:sz w:val="24"/>
                <w:szCs w:val="24"/>
                <w:highlight w:val="none"/>
                <w:lang w:eastAsia="zh-CN"/>
              </w:rPr>
              <w:t>30天</w:t>
            </w:r>
            <w:r>
              <w:rPr>
                <w:rFonts w:hint="eastAsia" w:ascii="宋体" w:hAnsi="宋体" w:eastAsia="宋体" w:cs="宋体"/>
                <w:sz w:val="24"/>
                <w:szCs w:val="24"/>
                <w:highlight w:val="none"/>
              </w:rPr>
              <w:t>最短持有期固收</w:t>
            </w:r>
            <w:r>
              <w:rPr>
                <w:rFonts w:hint="eastAsia" w:ascii="宋体" w:hAnsi="宋体" w:eastAsia="宋体" w:cs="宋体"/>
                <w:sz w:val="24"/>
                <w:szCs w:val="24"/>
                <w:highlight w:val="none"/>
                <w:lang w:val="en-US" w:eastAsia="zh-CN"/>
              </w:rPr>
              <w:t>5号C</w:t>
            </w:r>
          </w:p>
          <w:p>
            <w:pPr>
              <w:spacing w:line="300" w:lineRule="auto"/>
              <w:rPr>
                <w:rFonts w:hint="eastAsia" w:ascii="宋体" w:hAnsi="宋体" w:eastAsia="宋体"/>
                <w:sz w:val="24"/>
                <w:szCs w:val="24"/>
                <w:highlight w:val="none"/>
                <w:lang w:val="en-US"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eastAsia="宋体" w:cs="宋体"/>
                <w:sz w:val="24"/>
                <w:szCs w:val="24"/>
                <w:highlight w:val="none"/>
                <w:lang w:eastAsia="zh-CN"/>
              </w:rPr>
              <w:t>LCYS30CYZ05</w:t>
            </w:r>
            <w:r>
              <w:rPr>
                <w:rFonts w:hint="eastAsia" w:ascii="宋体" w:hAnsi="宋体" w:eastAsia="宋体" w:cs="宋体"/>
                <w:sz w:val="24"/>
                <w:szCs w:val="24"/>
                <w:highlight w:val="none"/>
                <w:lang w:val="en-US" w:eastAsia="zh-CN"/>
              </w:rPr>
              <w:t>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default" w:ascii="宋体" w:hAnsi="宋体" w:eastAsia="宋体"/>
                <w:sz w:val="24"/>
                <w:szCs w:val="24"/>
                <w:highlight w:val="none"/>
                <w:lang w:val="en-US" w:eastAsia="zh-CN"/>
              </w:rPr>
            </w:pPr>
            <w:bookmarkStart w:id="0" w:name="_GoBack"/>
            <w:r>
              <w:rPr>
                <w:rFonts w:hint="eastAsia" w:ascii="宋体" w:hAnsi="宋体" w:eastAsia="宋体"/>
                <w:sz w:val="24"/>
                <w:szCs w:val="24"/>
                <w:highlight w:val="none"/>
              </w:rPr>
              <w:t>Z</w:t>
            </w:r>
            <w:r>
              <w:rPr>
                <w:rFonts w:hint="eastAsia" w:ascii="宋体" w:hAnsi="宋体" w:eastAsia="宋体"/>
                <w:sz w:val="24"/>
                <w:szCs w:val="24"/>
                <w:highlight w:val="none"/>
                <w:lang w:val="en-US" w:eastAsia="zh-CN"/>
              </w:rPr>
              <w:t>7008425000535</w:t>
            </w:r>
          </w:p>
          <w:bookmarkEnd w:id="0"/>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ind w:firstLine="0" w:firstLineChars="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eastAsia="宋体" w:cs="宋体"/>
                <w:sz w:val="24"/>
                <w:szCs w:val="24"/>
                <w:highlight w:val="none"/>
                <w:lang w:val="en-US" w:eastAsia="zh-CN"/>
              </w:rPr>
              <w:t>吉林银行股份有限公司、内蒙古银行股份有限公司、</w:t>
            </w:r>
            <w:r>
              <w:rPr>
                <w:rFonts w:hint="eastAsia" w:ascii="宋体" w:hAnsi="宋体" w:eastAsia="宋体"/>
                <w:sz w:val="24"/>
                <w:szCs w:val="24"/>
                <w:highlight w:val="none"/>
                <w:lang w:val="en-US" w:eastAsia="zh-CN"/>
              </w:rPr>
              <w:t>九江</w:t>
            </w:r>
            <w:r>
              <w:rPr>
                <w:rFonts w:hint="eastAsia" w:ascii="宋体" w:hAnsi="宋体" w:eastAsia="宋体"/>
                <w:sz w:val="24"/>
                <w:szCs w:val="24"/>
                <w:highlight w:val="none"/>
              </w:rPr>
              <w:t>银行股份有限公司</w:t>
            </w:r>
            <w:r>
              <w:rPr>
                <w:rFonts w:hint="eastAsia" w:ascii="宋体" w:hAnsi="宋体" w:eastAsia="宋体" w:cs="宋体"/>
                <w:sz w:val="24"/>
                <w:szCs w:val="24"/>
                <w:highlight w:val="none"/>
                <w:lang w:val="en-US" w:eastAsia="zh-CN"/>
              </w:rPr>
              <w:t>、广东华润银行股份有限公司</w:t>
            </w:r>
            <w:r>
              <w:rPr>
                <w:rFonts w:hint="eastAsia" w:ascii="宋体" w:hAnsi="宋体" w:eastAsia="宋体" w:cs="宋体"/>
                <w:sz w:val="24"/>
                <w:szCs w:val="24"/>
                <w:highlight w:val="none"/>
              </w:rPr>
              <w:t>，以下简称“代销机构”</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销售服务机构，如有</w:t>
            </w:r>
            <w:r>
              <w:rPr>
                <w:rFonts w:hint="eastAsia" w:ascii="宋体" w:hAnsi="宋体" w:eastAsia="宋体"/>
                <w:sz w:val="24"/>
                <w:szCs w:val="24"/>
                <w:highlight w:val="none"/>
                <w:lang w:val="en-US" w:eastAsia="zh-CN"/>
              </w:rPr>
              <w:t>调整，</w:t>
            </w:r>
            <w:r>
              <w:rPr>
                <w:rFonts w:hint="eastAsia" w:ascii="宋体" w:hAnsi="宋体" w:eastAsia="宋体"/>
                <w:sz w:val="24"/>
                <w:szCs w:val="24"/>
                <w:highlight w:val="none"/>
              </w:rPr>
              <w:t>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份额】：个人</w:t>
            </w:r>
            <w:r>
              <w:rPr>
                <w:rFonts w:ascii="宋体" w:hAnsi="宋体" w:eastAsia="宋体"/>
                <w:sz w:val="24"/>
                <w:szCs w:val="24"/>
                <w:highlight w:val="none"/>
              </w:rPr>
              <w:t>投资者</w:t>
            </w:r>
            <w:r>
              <w:rPr>
                <w:rFonts w:hint="eastAsia" w:ascii="宋体" w:hAnsi="宋体" w:eastAsia="宋体"/>
                <w:sz w:val="24"/>
                <w:szCs w:val="24"/>
                <w:highlight w:val="none"/>
              </w:rPr>
              <w:t>单笔认购</w:t>
            </w:r>
            <w:r>
              <w:rPr>
                <w:rFonts w:hint="eastAsia" w:ascii="宋体" w:hAnsi="宋体" w:eastAsia="宋体"/>
                <w:sz w:val="24"/>
                <w:szCs w:val="24"/>
                <w:highlight w:val="none"/>
                <w:lang w:val="en-US" w:eastAsia="zh-CN"/>
              </w:rPr>
              <w:t>/申购</w:t>
            </w:r>
            <w:r>
              <w:rPr>
                <w:rFonts w:hint="eastAsia" w:ascii="宋体" w:hAnsi="宋体" w:eastAsia="宋体"/>
                <w:sz w:val="24"/>
                <w:szCs w:val="24"/>
                <w:highlight w:val="none"/>
              </w:rPr>
              <w:t>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w:t>
            </w:r>
            <w:r>
              <w:rPr>
                <w:rFonts w:hint="eastAsia" w:ascii="宋体" w:hAnsi="宋体" w:eastAsia="宋体"/>
                <w:sz w:val="24"/>
                <w:szCs w:val="24"/>
                <w:highlight w:val="none"/>
                <w:lang w:val="en-US" w:eastAsia="zh-CN"/>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份额】：单一个人投资者持有上限为【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份额】：个人投资者单笔赎回上限为【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份额】：个人投资者单日累计赎回上限为【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为【2025】年【</w:t>
            </w:r>
            <w:r>
              <w:rPr>
                <w:rFonts w:hint="eastAsia" w:ascii="宋体" w:hAnsi="宋体" w:eastAsia="宋体"/>
                <w:sz w:val="24"/>
                <w:szCs w:val="24"/>
                <w:highlight w:val="none"/>
                <w:lang w:val="en-US" w:eastAsia="zh-CN"/>
              </w:rPr>
              <w:t>11</w:t>
            </w:r>
            <w:r>
              <w:rPr>
                <w:rFonts w:ascii="宋体" w:hAnsi="宋体" w:eastAsia="宋体"/>
                <w:sz w:val="24"/>
                <w:szCs w:val="24"/>
                <w:highlight w:val="none"/>
              </w:rPr>
              <w:t>】月【</w:t>
            </w:r>
            <w:r>
              <w:rPr>
                <w:rFonts w:hint="eastAsia" w:ascii="宋体" w:hAnsi="宋体" w:eastAsia="宋体"/>
                <w:sz w:val="24"/>
                <w:szCs w:val="24"/>
                <w:highlight w:val="none"/>
                <w:lang w:val="en-US" w:eastAsia="zh-CN"/>
              </w:rPr>
              <w:t>24</w:t>
            </w:r>
            <w:r>
              <w:rPr>
                <w:rFonts w:ascii="宋体" w:hAnsi="宋体" w:eastAsia="宋体"/>
                <w:sz w:val="24"/>
                <w:szCs w:val="24"/>
                <w:highlight w:val="none"/>
              </w:rPr>
              <w:t>】日【09:00】至【2025】年【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2</w:t>
            </w:r>
            <w:r>
              <w:rPr>
                <w:rFonts w:ascii="宋体" w:hAnsi="宋体" w:eastAsia="宋体"/>
                <w:sz w:val="24"/>
                <w:szCs w:val="24"/>
                <w:highlight w:val="none"/>
              </w:rPr>
              <w:t>】日【15:30】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为【2025】年【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3</w:t>
            </w:r>
            <w:r>
              <w:rPr>
                <w:rFonts w:ascii="宋体" w:hAnsi="宋体" w:eastAsia="宋体"/>
                <w:sz w:val="24"/>
                <w:szCs w:val="24"/>
                <w:highlight w:val="none"/>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产品的计划成立日为【2025】年【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3</w:t>
            </w:r>
            <w:r>
              <w:rPr>
                <w:rFonts w:ascii="宋体" w:hAnsi="宋体" w:eastAsia="宋体"/>
                <w:sz w:val="24"/>
                <w:szCs w:val="24"/>
                <w:highlight w:val="none"/>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w:t>
            </w:r>
            <w:r>
              <w:rPr>
                <w:rFonts w:hint="eastAsia" w:ascii="宋体" w:hAnsi="宋体" w:eastAsia="宋体" w:cs="宋体"/>
                <w:b/>
                <w:bCs/>
                <w:sz w:val="24"/>
                <w:szCs w:val="24"/>
                <w:highlight w:val="none"/>
                <w:lang w:val="en-US" w:eastAsia="zh-CN"/>
              </w:rPr>
              <w:t>3</w:t>
            </w:r>
            <w:r>
              <w:rPr>
                <w:rFonts w:ascii="宋体" w:hAnsi="宋体" w:eastAsia="宋体" w:cs="宋体"/>
                <w:b/>
                <w:bCs/>
                <w:sz w:val="24"/>
                <w:szCs w:val="24"/>
                <w:highlight w:val="none"/>
              </w:rPr>
              <w:t>0】个自然日。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w:t>
            </w:r>
            <w:r>
              <w:rPr>
                <w:rFonts w:hint="eastAsia" w:ascii="宋体" w:hAnsi="宋体" w:eastAsia="宋体" w:cs="宋体"/>
                <w:b/>
                <w:bCs/>
                <w:sz w:val="24"/>
                <w:szCs w:val="24"/>
                <w:highlight w:val="none"/>
                <w:lang w:val="en-US" w:eastAsia="zh-CN"/>
              </w:rPr>
              <w:t>3</w:t>
            </w:r>
            <w:r>
              <w:rPr>
                <w:rFonts w:ascii="宋体" w:hAnsi="宋体" w:eastAsia="宋体" w:cs="宋体"/>
                <w:b/>
                <w:bCs/>
                <w:sz w:val="24"/>
                <w:szCs w:val="24"/>
                <w:highlight w:val="none"/>
              </w:rPr>
              <w:t>0个自然日，最短持有期结束日为第T+</w:t>
            </w:r>
            <w:r>
              <w:rPr>
                <w:rFonts w:hint="eastAsia" w:ascii="宋体" w:hAnsi="宋体" w:eastAsia="宋体" w:cs="宋体"/>
                <w:b/>
                <w:bCs/>
                <w:sz w:val="24"/>
                <w:szCs w:val="24"/>
                <w:highlight w:val="none"/>
                <w:lang w:val="en-US" w:eastAsia="zh-CN"/>
              </w:rPr>
              <w:t>2</w:t>
            </w:r>
            <w:r>
              <w:rPr>
                <w:rFonts w:ascii="宋体" w:hAnsi="宋体" w:eastAsia="宋体" w:cs="宋体"/>
                <w:b/>
                <w:bCs/>
                <w:sz w:val="24"/>
                <w:szCs w:val="24"/>
                <w:highlight w:val="none"/>
              </w:rPr>
              <w:t>9个自然日，若第T+</w:t>
            </w:r>
            <w:r>
              <w:rPr>
                <w:rFonts w:hint="eastAsia" w:ascii="宋体" w:hAnsi="宋体" w:eastAsia="宋体" w:cs="宋体"/>
                <w:b/>
                <w:bCs/>
                <w:sz w:val="24"/>
                <w:szCs w:val="24"/>
                <w:highlight w:val="none"/>
                <w:lang w:val="en-US" w:eastAsia="zh-CN"/>
              </w:rPr>
              <w:t>2</w:t>
            </w:r>
            <w:r>
              <w:rPr>
                <w:rFonts w:ascii="宋体" w:hAnsi="宋体" w:eastAsia="宋体" w:cs="宋体"/>
                <w:b/>
                <w:bCs/>
                <w:sz w:val="24"/>
                <w:szCs w:val="24"/>
                <w:highlight w:val="none"/>
              </w:rPr>
              <w:t>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w:t>
            </w:r>
            <w:r>
              <w:rPr>
                <w:rFonts w:hint="eastAsia" w:ascii="宋体" w:hAnsi="宋体" w:eastAsia="宋体" w:cs="宋体"/>
                <w:b/>
                <w:bCs/>
                <w:sz w:val="24"/>
                <w:szCs w:val="24"/>
                <w:highlight w:val="none"/>
                <w:lang w:val="en-US" w:eastAsia="zh-CN"/>
              </w:rPr>
              <w:t>3</w:t>
            </w:r>
            <w:r>
              <w:rPr>
                <w:rFonts w:ascii="宋体" w:hAnsi="宋体" w:eastAsia="宋体" w:cs="宋体"/>
                <w:b/>
                <w:bCs/>
                <w:sz w:val="24"/>
                <w:szCs w:val="24"/>
                <w:highlight w:val="none"/>
              </w:rPr>
              <w:t>0个自然日。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1"/>
                <w:numId w:val="0"/>
              </w:numPr>
              <w:spacing w:line="240" w:lineRule="auto"/>
              <w:rPr>
                <w:rFonts w:ascii="宋体" w:hAnsi="宋体" w:eastAsia="宋体"/>
                <w:sz w:val="24"/>
                <w:szCs w:val="24"/>
                <w:highlight w:val="none"/>
              </w:rPr>
            </w:pPr>
            <w:r>
              <w:rPr>
                <w:rFonts w:ascii="宋体" w:hAnsi="宋体" w:eastAsia="宋体"/>
                <w:sz w:val="24"/>
                <w:szCs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numPr>
                <w:ilvl w:val="-1"/>
                <w:numId w:val="0"/>
              </w:numPr>
              <w:spacing w:line="240" w:lineRule="auto"/>
              <w:rPr>
                <w:highlight w:val="none"/>
              </w:rPr>
            </w:pPr>
            <w:r>
              <w:rPr>
                <w:rFonts w:ascii="宋体" w:hAnsi="宋体" w:eastAsia="宋体"/>
                <w:sz w:val="24"/>
                <w:szCs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numPr>
                <w:ilvl w:val="-1"/>
                <w:numId w:val="0"/>
              </w:numPr>
              <w:spacing w:line="240" w:lineRule="auto"/>
              <w:rPr>
                <w:highlight w:val="none"/>
              </w:rPr>
            </w:pPr>
            <w:r>
              <w:rPr>
                <w:rFonts w:hint="eastAsia" w:ascii="宋体" w:hAnsi="宋体" w:eastAsia="宋体" w:cs="宋体"/>
                <w:b/>
                <w:bCs/>
                <w:sz w:val="24"/>
                <w:highlight w:val="none"/>
              </w:rPr>
              <w:t>管理人有权临时暂停申购、赎回。</w:t>
            </w:r>
          </w:p>
          <w:p>
            <w:pPr>
              <w:numPr>
                <w:ilvl w:val="-1"/>
                <w:numId w:val="0"/>
              </w:numPr>
              <w:spacing w:line="24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份额】：年化【</w:t>
            </w:r>
            <w:r>
              <w:rPr>
                <w:rFonts w:hint="eastAsia" w:ascii="宋体" w:hAnsi="宋体" w:eastAsia="宋体" w:cs="宋体"/>
                <w:sz w:val="24"/>
                <w:szCs w:val="24"/>
                <w:highlight w:val="none"/>
                <w:lang w:val="en-US" w:eastAsia="zh-CN"/>
              </w:rPr>
              <w:t>1.40</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2.40</w:t>
            </w:r>
            <w:r>
              <w:rPr>
                <w:rFonts w:hint="eastAsia" w:ascii="宋体" w:hAnsi="宋体" w:eastAsia="宋体" w:cs="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w:t>
            </w:r>
            <w:r>
              <w:rPr>
                <w:rFonts w:hint="eastAsia" w:ascii="宋体" w:hAnsi="宋体" w:eastAsia="宋体"/>
                <w:sz w:val="24"/>
                <w:szCs w:val="24"/>
                <w:highlight w:val="none"/>
                <w:lang w:eastAsia="zh-CN"/>
              </w:rPr>
              <w:t>30天</w:t>
            </w:r>
            <w:r>
              <w:rPr>
                <w:rFonts w:hint="eastAsia" w:ascii="宋体" w:hAnsi="宋体" w:eastAsia="宋体"/>
                <w:sz w:val="24"/>
                <w:szCs w:val="24"/>
                <w:highlight w:val="none"/>
              </w:rPr>
              <w:t>及以上的情况进行测算。</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份额】：【0.6</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1.80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同业存单、其他货币市场工具、银行间市场和证券交易所发行的债券、货币市场基金、债券基金、债券质押式及买断式回购、资产支持证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w:t>
      </w:r>
      <w:r>
        <w:rPr>
          <w:rFonts w:hint="eastAsia" w:ascii="宋体" w:hAnsi="宋体" w:eastAsia="宋体"/>
          <w:sz w:val="24"/>
          <w:szCs w:val="24"/>
          <w:highlight w:val="none"/>
          <w:lang w:val="en-US" w:eastAsia="zh-CN"/>
        </w:rPr>
        <w:t>资产仅限</w:t>
      </w:r>
      <w:r>
        <w:rPr>
          <w:rFonts w:hint="eastAsia" w:ascii="宋体" w:hAnsi="宋体" w:eastAsia="宋体"/>
          <w:sz w:val="24"/>
          <w:szCs w:val="24"/>
          <w:highlight w:val="none"/>
        </w:rPr>
        <w:t>优先股</w:t>
      </w:r>
      <w:r>
        <w:rPr>
          <w:rFonts w:hint="eastAsia" w:ascii="宋体" w:hAnsi="宋体" w:eastAsia="宋体"/>
          <w:sz w:val="24"/>
          <w:szCs w:val="24"/>
          <w:highlight w:val="none"/>
          <w:lang w:val="en-US" w:eastAsia="zh-CN"/>
        </w:rPr>
        <w:t>及以优先股</w:t>
      </w:r>
      <w:r>
        <w:rPr>
          <w:rFonts w:hint="eastAsia" w:ascii="宋体" w:hAnsi="宋体" w:eastAsia="宋体"/>
          <w:sz w:val="24"/>
          <w:szCs w:val="24"/>
          <w:highlight w:val="none"/>
        </w:rPr>
        <w:t>为</w:t>
      </w:r>
      <w:r>
        <w:rPr>
          <w:rFonts w:hint="eastAsia" w:ascii="宋体" w:hAnsi="宋体" w:eastAsia="宋体"/>
          <w:sz w:val="24"/>
          <w:szCs w:val="24"/>
          <w:highlight w:val="none"/>
          <w:lang w:val="en-US" w:eastAsia="zh-CN"/>
        </w:rPr>
        <w:t>投资标的</w:t>
      </w:r>
      <w:r>
        <w:rPr>
          <w:rFonts w:hint="eastAsia" w:ascii="宋体" w:hAnsi="宋体" w:eastAsia="宋体"/>
          <w:sz w:val="24"/>
          <w:szCs w:val="24"/>
          <w:highlight w:val="none"/>
        </w:rPr>
        <w:t>的公募基金、信托计划、资产管理计划等资产管理产品；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w:t>
            </w:r>
          </w:p>
        </w:tc>
      </w:tr>
    </w:tbl>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本理财产品建仓期为1</w:t>
      </w:r>
      <w:r>
        <w:rPr>
          <w:rFonts w:hint="eastAsia" w:ascii="宋体" w:hAnsi="宋体" w:eastAsia="宋体"/>
          <w:sz w:val="24"/>
          <w:szCs w:val="24"/>
          <w:highlight w:val="none"/>
          <w:lang w:val="en-US" w:eastAsia="zh-CN"/>
        </w:rPr>
        <w:t>个月</w:t>
      </w:r>
      <w:r>
        <w:rPr>
          <w:rFonts w:hint="eastAsia" w:ascii="宋体" w:hAnsi="宋体" w:eastAsia="宋体"/>
          <w:sz w:val="24"/>
          <w:szCs w:val="24"/>
          <w:highlight w:val="none"/>
        </w:rPr>
        <w:t>，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主要投资稳定保持中短久期的债券资产组合，并通过调整资产组合的期限搭配、品种结构、场所摆布等对组合进行动态优化，同时重点发挥公司投研体系及风控能力优势，加强市场研判，优选信用债投资机会，并择机配置权益类资产，在控制信用风险及收益波动幅度的前提下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期：【2025】年【</w:t>
      </w:r>
      <w:r>
        <w:rPr>
          <w:rFonts w:hint="eastAsia" w:ascii="宋体" w:hAnsi="宋体" w:eastAsia="宋体"/>
          <w:sz w:val="24"/>
          <w:szCs w:val="24"/>
          <w:highlight w:val="none"/>
          <w:lang w:val="en-US" w:eastAsia="zh-CN"/>
        </w:rPr>
        <w:t>11</w:t>
      </w:r>
      <w:r>
        <w:rPr>
          <w:rFonts w:ascii="宋体" w:hAnsi="宋体" w:eastAsia="宋体"/>
          <w:sz w:val="24"/>
          <w:szCs w:val="24"/>
          <w:highlight w:val="none"/>
        </w:rPr>
        <w:t>】月【</w:t>
      </w:r>
      <w:r>
        <w:rPr>
          <w:rFonts w:hint="eastAsia" w:ascii="宋体" w:hAnsi="宋体" w:eastAsia="宋体"/>
          <w:sz w:val="24"/>
          <w:szCs w:val="24"/>
          <w:highlight w:val="none"/>
          <w:lang w:val="en-US" w:eastAsia="zh-CN"/>
        </w:rPr>
        <w:t>24</w:t>
      </w:r>
      <w:r>
        <w:rPr>
          <w:rFonts w:ascii="宋体" w:hAnsi="宋体" w:eastAsia="宋体"/>
          <w:sz w:val="24"/>
          <w:szCs w:val="24"/>
          <w:highlight w:val="none"/>
        </w:rPr>
        <w:t>】日【09:00】至【2025】年【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2</w:t>
      </w:r>
      <w:r>
        <w:rPr>
          <w:rFonts w:ascii="宋体" w:hAnsi="宋体" w:eastAsia="宋体"/>
          <w:sz w:val="24"/>
          <w:szCs w:val="24"/>
          <w:highlight w:val="none"/>
        </w:rPr>
        <w:t>】日【15:30】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w:t>
      </w:r>
      <w:r>
        <w:rPr>
          <w:rFonts w:hint="eastAsia" w:ascii="宋体" w:hAnsi="宋体" w:eastAsia="宋体" w:cs="宋体"/>
          <w:sz w:val="24"/>
          <w:szCs w:val="24"/>
          <w:highlight w:val="none"/>
          <w:lang w:val="en-US" w:eastAsia="zh-CN"/>
        </w:rPr>
        <w:t>30</w:t>
      </w:r>
      <w:r>
        <w:rPr>
          <w:rFonts w:ascii="宋体" w:hAnsi="宋体" w:eastAsia="宋体" w:cs="宋体"/>
          <w:sz w:val="24"/>
          <w:szCs w:val="24"/>
          <w:highlight w:val="none"/>
        </w:rPr>
        <w:t>】个自然日。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w:t>
      </w:r>
      <w:r>
        <w:rPr>
          <w:rFonts w:hint="eastAsia" w:ascii="宋体" w:hAnsi="宋体" w:eastAsia="宋体" w:cs="宋体"/>
          <w:sz w:val="24"/>
          <w:szCs w:val="24"/>
          <w:highlight w:val="none"/>
          <w:lang w:val="en-US" w:eastAsia="zh-CN"/>
        </w:rPr>
        <w:t>30</w:t>
      </w:r>
      <w:r>
        <w:rPr>
          <w:rFonts w:ascii="宋体" w:hAnsi="宋体" w:eastAsia="宋体" w:cs="宋体"/>
          <w:sz w:val="24"/>
          <w:szCs w:val="24"/>
          <w:highlight w:val="none"/>
        </w:rPr>
        <w:t>个自然日，最短持有期结束日为第T+</w:t>
      </w:r>
      <w:r>
        <w:rPr>
          <w:rFonts w:hint="eastAsia" w:ascii="宋体" w:hAnsi="宋体" w:eastAsia="宋体" w:cs="宋体"/>
          <w:sz w:val="24"/>
          <w:szCs w:val="24"/>
          <w:highlight w:val="none"/>
          <w:lang w:val="en-US" w:eastAsia="zh-CN"/>
        </w:rPr>
        <w:t>2</w:t>
      </w:r>
      <w:r>
        <w:rPr>
          <w:rFonts w:ascii="宋体" w:hAnsi="宋体" w:eastAsia="宋体" w:cs="宋体"/>
          <w:sz w:val="24"/>
          <w:szCs w:val="24"/>
          <w:highlight w:val="none"/>
        </w:rPr>
        <w:t>9个自然日，若第T+</w:t>
      </w:r>
      <w:r>
        <w:rPr>
          <w:rFonts w:hint="eastAsia" w:ascii="宋体" w:hAnsi="宋体" w:eastAsia="宋体" w:cs="宋体"/>
          <w:sz w:val="24"/>
          <w:szCs w:val="24"/>
          <w:highlight w:val="none"/>
          <w:lang w:val="en-US" w:eastAsia="zh-CN"/>
        </w:rPr>
        <w:t>2</w:t>
      </w:r>
      <w:r>
        <w:rPr>
          <w:rFonts w:ascii="宋体" w:hAnsi="宋体" w:eastAsia="宋体" w:cs="宋体"/>
          <w:sz w:val="24"/>
          <w:szCs w:val="24"/>
          <w:highlight w:val="none"/>
        </w:rPr>
        <w:t>9个自然日为非开放日则顺延至下一开放日。投资者可在认/申购的份额确认后于最短持有期结束日（含）及后续每个开放日申请赎回。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w:t>
      </w:r>
      <w:r>
        <w:rPr>
          <w:rFonts w:hint="eastAsia" w:ascii="宋体" w:hAnsi="宋体" w:eastAsia="宋体" w:cs="宋体"/>
          <w:sz w:val="24"/>
          <w:szCs w:val="24"/>
          <w:highlight w:val="none"/>
          <w:lang w:val="en-US" w:eastAsia="zh-CN"/>
        </w:rPr>
        <w:t>30</w:t>
      </w:r>
      <w:r>
        <w:rPr>
          <w:rFonts w:ascii="宋体" w:hAnsi="宋体" w:eastAsia="宋体" w:cs="宋体"/>
          <w:sz w:val="24"/>
          <w:szCs w:val="24"/>
          <w:highlight w:val="none"/>
        </w:rPr>
        <w:t>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C类</w:t>
      </w:r>
      <w:r>
        <w:rPr>
          <w:rFonts w:hint="eastAsia" w:ascii="宋体" w:hAnsi="宋体" w:eastAsia="宋体" w:cs="宋体"/>
          <w:sz w:val="24"/>
          <w:szCs w:val="24"/>
          <w:highlight w:val="none"/>
        </w:rPr>
        <w:t>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10000万</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w:t>
      </w:r>
      <w:r>
        <w:rPr>
          <w:rFonts w:hint="eastAsia" w:ascii="宋体" w:hAnsi="宋体" w:cs="宋体"/>
          <w:sz w:val="24"/>
        </w:rPr>
        <w:t>或投资者被列入反洗钱特别预防措施名单、或其属于反洗钱特别预防措施名单中相关主体的代理人、受其指使的组织和人员、其直接或者间接控制的组织</w:t>
      </w:r>
      <w:r>
        <w:rPr>
          <w:rFonts w:hint="eastAsia" w:ascii="宋体" w:hAnsi="宋体" w:cs="宋体"/>
          <w:sz w:val="24"/>
          <w:lang w:eastAsia="zh-CN"/>
        </w:rPr>
        <w:t>，</w:t>
      </w:r>
      <w:r>
        <w:rPr>
          <w:rFonts w:hint="eastAsia" w:ascii="宋体" w:hAnsi="宋体" w:cs="宋体"/>
          <w:sz w:val="24"/>
          <w:highlight w:val="none"/>
        </w:rPr>
        <w:t>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b/>
          <w:bCs/>
          <w:sz w:val="24"/>
          <w:highlight w:val="none"/>
        </w:rPr>
      </w:pPr>
      <w:r>
        <w:rPr>
          <w:rFonts w:hint="eastAsia" w:ascii="宋体" w:hAnsi="宋体" w:cs="宋体"/>
          <w:sz w:val="24"/>
          <w:highlight w:val="none"/>
        </w:rPr>
        <w:t>当发生上述拒绝或暂停接受认购/申购申请的情形时，管理人将在3个交易日内根据本产品说明书约定的信息披露方式向投资者进行信息披露。</w:t>
      </w:r>
      <w:r>
        <w:rPr>
          <w:rFonts w:hint="eastAsia" w:ascii="宋体" w:hAnsi="宋体" w:cs="宋体"/>
          <w:b/>
          <w:bCs/>
          <w:sz w:val="24"/>
          <w:highlight w:val="none"/>
        </w:rPr>
        <w:t>如果投资者的认购/申购申请被拒绝，被拒绝的认购/申购款项将在5个工作日内全额退还给投资者，扣款日至资金返还日期间不计付利息。投资者通过销售服务机构购买理财产品的，以销售服务机构的规定为准。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w:t>
      </w:r>
      <w:r>
        <w:rPr>
          <w:rFonts w:hint="eastAsia" w:ascii="宋体" w:hAnsi="宋体" w:eastAsia="宋体"/>
          <w:b/>
          <w:bCs/>
          <w:sz w:val="24"/>
          <w:szCs w:val="24"/>
          <w:highlight w:val="none"/>
          <w:lang w:val="en-US" w:eastAsia="zh-CN" w:bidi="ar"/>
        </w:rPr>
        <w:t>1.80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r>
        <w:rPr>
          <w:rFonts w:hint="eastAsia" w:ascii="宋体" w:hAnsi="宋体" w:eastAsia="宋体"/>
          <w:b/>
          <w:bCs/>
          <w:sz w:val="24"/>
          <w:szCs w:val="24"/>
          <w:highlight w:val="none"/>
          <w:lang w:eastAsia="zh-CN"/>
        </w:rPr>
        <w:t>C类</w:t>
      </w:r>
      <w:r>
        <w:rPr>
          <w:rFonts w:hint="eastAsia" w:ascii="宋体" w:hAnsi="宋体" w:eastAsia="宋体"/>
          <w:b/>
          <w:bCs/>
          <w:sz w:val="24"/>
          <w:szCs w:val="24"/>
          <w:highlight w:val="none"/>
        </w:rPr>
        <w:t>份额】销售服务费率为【0.6</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【0.02】</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日）后【5</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5</w:t>
      </w:r>
      <w:r>
        <w:rPr>
          <w:rFonts w:ascii="宋体" w:hAnsi="宋体" w:eastAsia="宋体"/>
          <w:sz w:val="24"/>
          <w:szCs w:val="24"/>
          <w:highlight w:val="none"/>
        </w:rPr>
        <w:t>】个工作日，清算期超过【</w:t>
      </w:r>
      <w:r>
        <w:rPr>
          <w:rFonts w:hint="eastAsia" w:ascii="宋体" w:hAnsi="宋体" w:eastAsia="宋体"/>
          <w:sz w:val="24"/>
          <w:szCs w:val="24"/>
          <w:highlight w:val="none"/>
        </w:rPr>
        <w:t>5</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本理财产品的托管人为渤海银行股份有限公司，地址为天津市海河东路218号渤海银行大厦，托管人主要职责为提供包括账户开立、资金保管、资金清算、估值核算等理财产品托管服务。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eastAsia="zh-CN"/>
        </w:rPr>
        <w:t>C类</w:t>
      </w:r>
      <w:r>
        <w:rPr>
          <w:rFonts w:hint="eastAsia" w:ascii="宋体" w:hAnsi="宋体" w:eastAsia="宋体"/>
          <w:sz w:val="24"/>
          <w:szCs w:val="24"/>
          <w:highlight w:val="none"/>
        </w:rPr>
        <w:t>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内蒙古银行股份有限公司，住所：内蒙古自治区呼和浩特市赛罕区腾飞南路33号，客户服务热线：40005-96019。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九江</w:t>
      </w:r>
      <w:r>
        <w:rPr>
          <w:rFonts w:hint="eastAsia" w:ascii="宋体" w:hAnsi="宋体" w:eastAsia="宋体"/>
          <w:sz w:val="24"/>
          <w:szCs w:val="24"/>
          <w:highlight w:val="none"/>
        </w:rPr>
        <w:t>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 xml:space="preserve">住所：江西省九江市濂溪区长虹大道619号，客户服务热线：95316。 </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cstheme="minorBidi"/>
          <w:sz w:val="24"/>
          <w:szCs w:val="24"/>
          <w:highlight w:val="none"/>
          <w:lang w:val="en-US" w:eastAsia="zh-CN"/>
        </w:rPr>
        <w:t>广东华润银行股份有限公司</w:t>
      </w:r>
      <w:r>
        <w:rPr>
          <w:rFonts w:hint="eastAsia" w:ascii="宋体" w:hAnsi="宋体" w:eastAsia="宋体"/>
          <w:sz w:val="24"/>
          <w:szCs w:val="24"/>
          <w:highlight w:val="none"/>
        </w:rPr>
        <w:t>，住所：</w:t>
      </w:r>
      <w:r>
        <w:rPr>
          <w:rFonts w:hint="eastAsia" w:ascii="宋体" w:hAnsi="宋体" w:eastAsia="宋体"/>
          <w:sz w:val="24"/>
          <w:szCs w:val="24"/>
          <w:highlight w:val="none"/>
          <w:lang w:eastAsia="zh-CN"/>
        </w:rPr>
        <w:t>珠海市高新区北城东三路</w:t>
      </w:r>
      <w:r>
        <w:rPr>
          <w:rFonts w:hint="eastAsia" w:ascii="宋体" w:hAnsi="宋体" w:eastAsia="宋体"/>
          <w:sz w:val="24"/>
          <w:szCs w:val="24"/>
          <w:highlight w:val="none"/>
          <w:lang w:val="en-US" w:eastAsia="zh-CN"/>
        </w:rPr>
        <w:t>88号珠海华润银行大厦</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0756-96588。</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w:t>
      </w:r>
      <w:r>
        <w:rPr>
          <w:rFonts w:hint="eastAsia" w:ascii="宋体" w:hAnsi="宋体" w:eastAsia="宋体"/>
          <w:b/>
          <w:bCs/>
          <w:sz w:val="24"/>
          <w:szCs w:val="24"/>
          <w:highlight w:val="none"/>
          <w:lang w:val="en-US" w:eastAsia="zh-CN"/>
        </w:rPr>
        <w:t>调整</w:t>
      </w:r>
      <w:r>
        <w:rPr>
          <w:rFonts w:hint="eastAsia" w:ascii="宋体" w:hAnsi="宋体" w:eastAsia="宋体"/>
          <w:b/>
          <w:bCs/>
          <w:sz w:val="24"/>
          <w:szCs w:val="24"/>
          <w:highlight w:val="none"/>
        </w:rPr>
        <w:t>，以管理人公告为准。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产品管理人将在</w:t>
      </w: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lang w:eastAsia="zh-CN"/>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lang w:eastAsia="zh-CN"/>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p>
      <w:pPr>
        <w:rPr>
          <w:rFonts w:hint="eastAsia" w:ascii="宋体" w:hAnsi="宋体" w:eastAsia="宋体"/>
          <w:sz w:val="24"/>
          <w:szCs w:val="24"/>
          <w:highlight w:val="none"/>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rPr>
          <w:rFonts w:hint="eastAsia" w:ascii="宋体" w:hAnsi="宋体" w:eastAsia="宋体"/>
          <w:sz w:val="24"/>
          <w:szCs w:val="24"/>
          <w:highlight w:val="none"/>
        </w:rPr>
      </w:pPr>
    </w:p>
    <w:sectPr>
      <w:headerReference r:id="rId5" w:type="default"/>
      <w:footerReference r:id="rId6" w:type="default"/>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E1eNA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sTV40CwCAABXBAAADgAAAAAAAAABACAAAAAfAQAAZHJzL2Uyb0RvYy54bWxQSwUGAAAAAAYA&#10;BgBZAQAAvQ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477D7F0F"/>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10521"/>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4A4C78"/>
    <w:rsid w:val="01512F9F"/>
    <w:rsid w:val="01CC68D5"/>
    <w:rsid w:val="01FE50BC"/>
    <w:rsid w:val="020C5FB0"/>
    <w:rsid w:val="02300265"/>
    <w:rsid w:val="02377367"/>
    <w:rsid w:val="02536EB3"/>
    <w:rsid w:val="027628C1"/>
    <w:rsid w:val="02E65CAB"/>
    <w:rsid w:val="032125FF"/>
    <w:rsid w:val="032E18D0"/>
    <w:rsid w:val="033011B9"/>
    <w:rsid w:val="03542B62"/>
    <w:rsid w:val="03993696"/>
    <w:rsid w:val="03A34738"/>
    <w:rsid w:val="03D6609D"/>
    <w:rsid w:val="04E93371"/>
    <w:rsid w:val="05181349"/>
    <w:rsid w:val="055B7332"/>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91B36AE"/>
    <w:rsid w:val="094B30AB"/>
    <w:rsid w:val="098C148C"/>
    <w:rsid w:val="09EA1F2A"/>
    <w:rsid w:val="0A0134D2"/>
    <w:rsid w:val="0A2850F6"/>
    <w:rsid w:val="0A4A3AE2"/>
    <w:rsid w:val="0A6B190B"/>
    <w:rsid w:val="0A9C5B25"/>
    <w:rsid w:val="0AC35E88"/>
    <w:rsid w:val="0B2C4E4A"/>
    <w:rsid w:val="0B3B3C49"/>
    <w:rsid w:val="0B552CB2"/>
    <w:rsid w:val="0B66661D"/>
    <w:rsid w:val="0B7877C8"/>
    <w:rsid w:val="0BC62F1C"/>
    <w:rsid w:val="0BE97A81"/>
    <w:rsid w:val="0C3D7576"/>
    <w:rsid w:val="0C576560"/>
    <w:rsid w:val="0C933759"/>
    <w:rsid w:val="0CB3034F"/>
    <w:rsid w:val="0CC2548F"/>
    <w:rsid w:val="0D9E5BE6"/>
    <w:rsid w:val="0DE03441"/>
    <w:rsid w:val="0ECC0D8A"/>
    <w:rsid w:val="0EE70D61"/>
    <w:rsid w:val="0F63131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F03A8D"/>
    <w:rsid w:val="137B6010"/>
    <w:rsid w:val="13CD4BF1"/>
    <w:rsid w:val="13F30B63"/>
    <w:rsid w:val="13F34CA7"/>
    <w:rsid w:val="14087139"/>
    <w:rsid w:val="14391C5C"/>
    <w:rsid w:val="14694151"/>
    <w:rsid w:val="14864269"/>
    <w:rsid w:val="149013EC"/>
    <w:rsid w:val="152A1216"/>
    <w:rsid w:val="152A2FC9"/>
    <w:rsid w:val="153D6DEC"/>
    <w:rsid w:val="159E5897"/>
    <w:rsid w:val="1617420C"/>
    <w:rsid w:val="163070EE"/>
    <w:rsid w:val="16362C2D"/>
    <w:rsid w:val="167A67DF"/>
    <w:rsid w:val="169D49D1"/>
    <w:rsid w:val="16F53929"/>
    <w:rsid w:val="176F4079"/>
    <w:rsid w:val="177F4193"/>
    <w:rsid w:val="186E5D8B"/>
    <w:rsid w:val="188075F1"/>
    <w:rsid w:val="18BC72C8"/>
    <w:rsid w:val="18F60A16"/>
    <w:rsid w:val="194A19B6"/>
    <w:rsid w:val="19F81BC6"/>
    <w:rsid w:val="1A5B3DAB"/>
    <w:rsid w:val="1AF12911"/>
    <w:rsid w:val="1B135804"/>
    <w:rsid w:val="1B4936D1"/>
    <w:rsid w:val="1BA71B66"/>
    <w:rsid w:val="1BD20FDF"/>
    <w:rsid w:val="1C2C60FF"/>
    <w:rsid w:val="1C3950EF"/>
    <w:rsid w:val="1C516DE1"/>
    <w:rsid w:val="1D1539F9"/>
    <w:rsid w:val="1D3E52D1"/>
    <w:rsid w:val="1D3F2331"/>
    <w:rsid w:val="1D60611F"/>
    <w:rsid w:val="1D6B54AE"/>
    <w:rsid w:val="1E030DC8"/>
    <w:rsid w:val="1E352383"/>
    <w:rsid w:val="1E413716"/>
    <w:rsid w:val="1E521BF4"/>
    <w:rsid w:val="1E866706"/>
    <w:rsid w:val="1F014117"/>
    <w:rsid w:val="1FD51345"/>
    <w:rsid w:val="1FF47788"/>
    <w:rsid w:val="2060339D"/>
    <w:rsid w:val="206904BF"/>
    <w:rsid w:val="210B020D"/>
    <w:rsid w:val="21264EDF"/>
    <w:rsid w:val="21A842C7"/>
    <w:rsid w:val="21B53BFF"/>
    <w:rsid w:val="21B948C1"/>
    <w:rsid w:val="21C959D5"/>
    <w:rsid w:val="21EB48C3"/>
    <w:rsid w:val="2252490D"/>
    <w:rsid w:val="225A3BED"/>
    <w:rsid w:val="227809D0"/>
    <w:rsid w:val="22D44351"/>
    <w:rsid w:val="2308324D"/>
    <w:rsid w:val="23361551"/>
    <w:rsid w:val="23553444"/>
    <w:rsid w:val="23E33E97"/>
    <w:rsid w:val="23EF74E8"/>
    <w:rsid w:val="245A4B65"/>
    <w:rsid w:val="24A3232E"/>
    <w:rsid w:val="2540053D"/>
    <w:rsid w:val="254861BA"/>
    <w:rsid w:val="25572EC0"/>
    <w:rsid w:val="25583F8F"/>
    <w:rsid w:val="25BE790E"/>
    <w:rsid w:val="25CF5599"/>
    <w:rsid w:val="260B5408"/>
    <w:rsid w:val="26596DA2"/>
    <w:rsid w:val="27055672"/>
    <w:rsid w:val="276D47EC"/>
    <w:rsid w:val="27A53E9F"/>
    <w:rsid w:val="27AE3794"/>
    <w:rsid w:val="27FB0559"/>
    <w:rsid w:val="293911B4"/>
    <w:rsid w:val="296C6E71"/>
    <w:rsid w:val="298D1D5A"/>
    <w:rsid w:val="29A55AC6"/>
    <w:rsid w:val="2A102E33"/>
    <w:rsid w:val="2A14318A"/>
    <w:rsid w:val="2A903B65"/>
    <w:rsid w:val="2ADE4F10"/>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62667"/>
    <w:rsid w:val="2E0715EA"/>
    <w:rsid w:val="2E710F25"/>
    <w:rsid w:val="2E7B4F5C"/>
    <w:rsid w:val="2F43443B"/>
    <w:rsid w:val="2F504A9E"/>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2536E98"/>
    <w:rsid w:val="32B80440"/>
    <w:rsid w:val="32EC1E51"/>
    <w:rsid w:val="3332690B"/>
    <w:rsid w:val="334457E6"/>
    <w:rsid w:val="336F1AEB"/>
    <w:rsid w:val="34982340"/>
    <w:rsid w:val="34BA214A"/>
    <w:rsid w:val="34D96E0E"/>
    <w:rsid w:val="34E058A4"/>
    <w:rsid w:val="3517466A"/>
    <w:rsid w:val="3541567F"/>
    <w:rsid w:val="35561891"/>
    <w:rsid w:val="35C42453"/>
    <w:rsid w:val="363C10A8"/>
    <w:rsid w:val="3649547D"/>
    <w:rsid w:val="36745C03"/>
    <w:rsid w:val="36984654"/>
    <w:rsid w:val="36BD4AB8"/>
    <w:rsid w:val="36ED3C18"/>
    <w:rsid w:val="372158C2"/>
    <w:rsid w:val="37492D4C"/>
    <w:rsid w:val="378B661D"/>
    <w:rsid w:val="37CF70A9"/>
    <w:rsid w:val="380776D4"/>
    <w:rsid w:val="38B707F1"/>
    <w:rsid w:val="39267194"/>
    <w:rsid w:val="39897BF7"/>
    <w:rsid w:val="39CB465D"/>
    <w:rsid w:val="39D22E88"/>
    <w:rsid w:val="3A13730E"/>
    <w:rsid w:val="3A2200A7"/>
    <w:rsid w:val="3AD16475"/>
    <w:rsid w:val="3AE81C1E"/>
    <w:rsid w:val="3AF74B45"/>
    <w:rsid w:val="3B07184B"/>
    <w:rsid w:val="3BB6395F"/>
    <w:rsid w:val="3BE50063"/>
    <w:rsid w:val="3C083117"/>
    <w:rsid w:val="3C27601C"/>
    <w:rsid w:val="3C540446"/>
    <w:rsid w:val="3CBF57D4"/>
    <w:rsid w:val="3CEE5D90"/>
    <w:rsid w:val="3D2A07D7"/>
    <w:rsid w:val="3D8E5F6C"/>
    <w:rsid w:val="3DC9235F"/>
    <w:rsid w:val="3DEB4F15"/>
    <w:rsid w:val="3E045955"/>
    <w:rsid w:val="3E2928AA"/>
    <w:rsid w:val="3E7C30D1"/>
    <w:rsid w:val="3EC373AA"/>
    <w:rsid w:val="405139D2"/>
    <w:rsid w:val="40774519"/>
    <w:rsid w:val="4084568B"/>
    <w:rsid w:val="41451DE3"/>
    <w:rsid w:val="421C341D"/>
    <w:rsid w:val="4226002E"/>
    <w:rsid w:val="425101DD"/>
    <w:rsid w:val="425E3CE6"/>
    <w:rsid w:val="42662B39"/>
    <w:rsid w:val="42E2671F"/>
    <w:rsid w:val="42EB1794"/>
    <w:rsid w:val="43312EC1"/>
    <w:rsid w:val="43B006A9"/>
    <w:rsid w:val="44673A6C"/>
    <w:rsid w:val="44727382"/>
    <w:rsid w:val="4488447C"/>
    <w:rsid w:val="44E05F8D"/>
    <w:rsid w:val="45A81610"/>
    <w:rsid w:val="463D1398"/>
    <w:rsid w:val="46467996"/>
    <w:rsid w:val="467A71E9"/>
    <w:rsid w:val="46AB085B"/>
    <w:rsid w:val="46C17DFC"/>
    <w:rsid w:val="46CD5B27"/>
    <w:rsid w:val="472D4AE4"/>
    <w:rsid w:val="475A0E25"/>
    <w:rsid w:val="477433AA"/>
    <w:rsid w:val="477D7F0F"/>
    <w:rsid w:val="47B13336"/>
    <w:rsid w:val="47EC2593"/>
    <w:rsid w:val="481D7858"/>
    <w:rsid w:val="4844501C"/>
    <w:rsid w:val="487D0486"/>
    <w:rsid w:val="487E6827"/>
    <w:rsid w:val="488C182A"/>
    <w:rsid w:val="488D1BB3"/>
    <w:rsid w:val="489F3B56"/>
    <w:rsid w:val="48D55C81"/>
    <w:rsid w:val="49B56187"/>
    <w:rsid w:val="4A280604"/>
    <w:rsid w:val="4AA8729E"/>
    <w:rsid w:val="4AEA731A"/>
    <w:rsid w:val="4AF56EC6"/>
    <w:rsid w:val="4B6A356B"/>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8B8"/>
    <w:rsid w:val="50205D85"/>
    <w:rsid w:val="502305CE"/>
    <w:rsid w:val="50EB273B"/>
    <w:rsid w:val="50F20DD6"/>
    <w:rsid w:val="50F87889"/>
    <w:rsid w:val="514B229E"/>
    <w:rsid w:val="517860F3"/>
    <w:rsid w:val="51860E9E"/>
    <w:rsid w:val="52361053"/>
    <w:rsid w:val="52955FB3"/>
    <w:rsid w:val="52F42575"/>
    <w:rsid w:val="53531B4B"/>
    <w:rsid w:val="536329BD"/>
    <w:rsid w:val="53647DA3"/>
    <w:rsid w:val="5414133C"/>
    <w:rsid w:val="54BA2EAE"/>
    <w:rsid w:val="54BC02E9"/>
    <w:rsid w:val="54FD5792"/>
    <w:rsid w:val="55A93686"/>
    <w:rsid w:val="55E114D5"/>
    <w:rsid w:val="564A3398"/>
    <w:rsid w:val="569C6A69"/>
    <w:rsid w:val="56C4107E"/>
    <w:rsid w:val="57045D5A"/>
    <w:rsid w:val="58EC44DE"/>
    <w:rsid w:val="592120C0"/>
    <w:rsid w:val="59331502"/>
    <w:rsid w:val="594C5E66"/>
    <w:rsid w:val="599778BB"/>
    <w:rsid w:val="59DB3294"/>
    <w:rsid w:val="59E545C2"/>
    <w:rsid w:val="5A401792"/>
    <w:rsid w:val="5C090454"/>
    <w:rsid w:val="5C1D1464"/>
    <w:rsid w:val="5C9E6A24"/>
    <w:rsid w:val="5D60258E"/>
    <w:rsid w:val="5D81625E"/>
    <w:rsid w:val="5D906BF5"/>
    <w:rsid w:val="5DB47334"/>
    <w:rsid w:val="5DC33751"/>
    <w:rsid w:val="5E172770"/>
    <w:rsid w:val="5E317753"/>
    <w:rsid w:val="5E3D0404"/>
    <w:rsid w:val="5F6E31CD"/>
    <w:rsid w:val="60286820"/>
    <w:rsid w:val="60555FE4"/>
    <w:rsid w:val="605F529C"/>
    <w:rsid w:val="60CB4152"/>
    <w:rsid w:val="60CC6CDA"/>
    <w:rsid w:val="60CD632C"/>
    <w:rsid w:val="60CF3E48"/>
    <w:rsid w:val="60F40A4B"/>
    <w:rsid w:val="610F0A2B"/>
    <w:rsid w:val="612C42F2"/>
    <w:rsid w:val="612E74FF"/>
    <w:rsid w:val="61427D4E"/>
    <w:rsid w:val="616C4576"/>
    <w:rsid w:val="61AE3C5C"/>
    <w:rsid w:val="61C1436C"/>
    <w:rsid w:val="61FD7C20"/>
    <w:rsid w:val="62153A13"/>
    <w:rsid w:val="62543634"/>
    <w:rsid w:val="6284234E"/>
    <w:rsid w:val="62AE1103"/>
    <w:rsid w:val="63075C78"/>
    <w:rsid w:val="635421F5"/>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7A5E9C"/>
    <w:rsid w:val="66C47EC6"/>
    <w:rsid w:val="66D53FEE"/>
    <w:rsid w:val="66F73C73"/>
    <w:rsid w:val="67201A40"/>
    <w:rsid w:val="679B4A1A"/>
    <w:rsid w:val="680A7425"/>
    <w:rsid w:val="68224AB7"/>
    <w:rsid w:val="68371EB1"/>
    <w:rsid w:val="68565CBA"/>
    <w:rsid w:val="685A75E8"/>
    <w:rsid w:val="68615EDB"/>
    <w:rsid w:val="68F52B6F"/>
    <w:rsid w:val="68FD24D6"/>
    <w:rsid w:val="69017C1D"/>
    <w:rsid w:val="69086573"/>
    <w:rsid w:val="691A4459"/>
    <w:rsid w:val="692D0390"/>
    <w:rsid w:val="69556EB7"/>
    <w:rsid w:val="6A0551DE"/>
    <w:rsid w:val="6A103456"/>
    <w:rsid w:val="6A120D25"/>
    <w:rsid w:val="6A2A5219"/>
    <w:rsid w:val="6AF93859"/>
    <w:rsid w:val="6B005FF4"/>
    <w:rsid w:val="6B0F5C47"/>
    <w:rsid w:val="6B125020"/>
    <w:rsid w:val="6B4500D3"/>
    <w:rsid w:val="6BD27171"/>
    <w:rsid w:val="6BFA7F32"/>
    <w:rsid w:val="6C963BCE"/>
    <w:rsid w:val="6CF1031B"/>
    <w:rsid w:val="6D36084C"/>
    <w:rsid w:val="6D6738CE"/>
    <w:rsid w:val="6DCE1423"/>
    <w:rsid w:val="6E17642D"/>
    <w:rsid w:val="6E2A7A23"/>
    <w:rsid w:val="6E7F31DD"/>
    <w:rsid w:val="6EB9047F"/>
    <w:rsid w:val="6EC05DE2"/>
    <w:rsid w:val="6ED802A2"/>
    <w:rsid w:val="6F0A4E44"/>
    <w:rsid w:val="6F6C51AB"/>
    <w:rsid w:val="6F8705F8"/>
    <w:rsid w:val="6FC54D50"/>
    <w:rsid w:val="701A1470"/>
    <w:rsid w:val="70294DBE"/>
    <w:rsid w:val="70516DB9"/>
    <w:rsid w:val="70572659"/>
    <w:rsid w:val="70F62EA0"/>
    <w:rsid w:val="710E46EC"/>
    <w:rsid w:val="717C6EE8"/>
    <w:rsid w:val="71B37311"/>
    <w:rsid w:val="720D5B8B"/>
    <w:rsid w:val="721D2A0D"/>
    <w:rsid w:val="722517F9"/>
    <w:rsid w:val="72631230"/>
    <w:rsid w:val="728523DB"/>
    <w:rsid w:val="72911A25"/>
    <w:rsid w:val="7322630D"/>
    <w:rsid w:val="7375573E"/>
    <w:rsid w:val="73982F19"/>
    <w:rsid w:val="73B04906"/>
    <w:rsid w:val="73CB0206"/>
    <w:rsid w:val="73DD45C2"/>
    <w:rsid w:val="7421270C"/>
    <w:rsid w:val="742A058B"/>
    <w:rsid w:val="74BA419B"/>
    <w:rsid w:val="74D41120"/>
    <w:rsid w:val="74EA6C4B"/>
    <w:rsid w:val="75155ABC"/>
    <w:rsid w:val="751B464E"/>
    <w:rsid w:val="755C07D6"/>
    <w:rsid w:val="757E009D"/>
    <w:rsid w:val="75E87AC0"/>
    <w:rsid w:val="76754CBB"/>
    <w:rsid w:val="76DC55E6"/>
    <w:rsid w:val="76F81FC6"/>
    <w:rsid w:val="77127EBF"/>
    <w:rsid w:val="775C04C5"/>
    <w:rsid w:val="77753DAA"/>
    <w:rsid w:val="77DB2ADA"/>
    <w:rsid w:val="77DD60B4"/>
    <w:rsid w:val="78027687"/>
    <w:rsid w:val="782A4815"/>
    <w:rsid w:val="789828EB"/>
    <w:rsid w:val="78A9770C"/>
    <w:rsid w:val="78AB11DE"/>
    <w:rsid w:val="78D72BBA"/>
    <w:rsid w:val="79036C4A"/>
    <w:rsid w:val="792403B1"/>
    <w:rsid w:val="797804DF"/>
    <w:rsid w:val="7A6A5F33"/>
    <w:rsid w:val="7A933FC1"/>
    <w:rsid w:val="7B1153C0"/>
    <w:rsid w:val="7B43173F"/>
    <w:rsid w:val="7B4A5D58"/>
    <w:rsid w:val="7B592C5C"/>
    <w:rsid w:val="7B823B87"/>
    <w:rsid w:val="7BE105FE"/>
    <w:rsid w:val="7C4272C0"/>
    <w:rsid w:val="7CA82D21"/>
    <w:rsid w:val="7CFA17E8"/>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Body Text First Indent 21"/>
    <w:qFormat/>
    <w:uiPriority w:val="0"/>
    <w:pPr>
      <w:widowControl w:val="0"/>
      <w:ind w:left="420" w:leftChars="200" w:firstLine="420" w:firstLineChars="20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1093</Pages>
  <Words>945960</Words>
  <Characters>968387</Characters>
  <Lines>256</Lines>
  <Paragraphs>72</Paragraphs>
  <TotalTime>18</TotalTime>
  <ScaleCrop>false</ScaleCrop>
  <LinksUpToDate>false</LinksUpToDate>
  <CharactersWithSpaces>968443</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2025-03-19T07:44:00Z</dcterms:created>
  <dc:creator>xuchen.zhang</dc:creator>
  <cp:lastModifiedBy>shuo.lian</cp:lastModifiedBy>
  <dcterms:modified xsi:type="dcterms:W3CDTF">2026-03-18T03:06:15Z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